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EC3C22B" w:rsidR="00537809" w:rsidRPr="00767383" w:rsidRDefault="00537809" w:rsidP="00537809">
      <w:pPr>
        <w:pStyle w:val="Header"/>
        <w:tabs>
          <w:tab w:val="right" w:pos="9639"/>
        </w:tabs>
        <w:rPr>
          <w:bCs/>
          <w:i/>
          <w:noProof w:val="0"/>
          <w:sz w:val="24"/>
          <w:szCs w:val="24"/>
        </w:rPr>
      </w:pPr>
      <w:r w:rsidRPr="00767383">
        <w:rPr>
          <w:bCs/>
          <w:noProof w:val="0"/>
          <w:sz w:val="24"/>
          <w:szCs w:val="24"/>
        </w:rPr>
        <w:t>3GPP TSG-RAN WG2 Meeting #12</w:t>
      </w:r>
      <w:r w:rsidR="00F87048" w:rsidRPr="00767383">
        <w:rPr>
          <w:bCs/>
          <w:noProof w:val="0"/>
          <w:sz w:val="24"/>
          <w:szCs w:val="24"/>
        </w:rPr>
        <w:t>5</w:t>
      </w:r>
      <w:r w:rsidR="005432D9" w:rsidRPr="00767383">
        <w:rPr>
          <w:bCs/>
          <w:noProof w:val="0"/>
          <w:sz w:val="24"/>
          <w:szCs w:val="24"/>
        </w:rPr>
        <w:t>bis</w:t>
      </w:r>
      <w:r w:rsidRPr="00767383">
        <w:rPr>
          <w:bCs/>
          <w:noProof w:val="0"/>
          <w:sz w:val="24"/>
          <w:szCs w:val="24"/>
        </w:rPr>
        <w:tab/>
        <w:t>R2-</w:t>
      </w:r>
      <w:r w:rsidR="00D605F9" w:rsidRPr="00D605F9">
        <w:rPr>
          <w:bCs/>
          <w:noProof w:val="0"/>
          <w:sz w:val="24"/>
          <w:szCs w:val="24"/>
        </w:rPr>
        <w:t>2403449</w:t>
      </w:r>
    </w:p>
    <w:p w14:paraId="3723E1D3" w14:textId="71B91A79" w:rsidR="005432D9" w:rsidRPr="00767383" w:rsidRDefault="005432D9" w:rsidP="005432D9">
      <w:pPr>
        <w:pStyle w:val="Header"/>
        <w:tabs>
          <w:tab w:val="right" w:pos="9639"/>
        </w:tabs>
        <w:rPr>
          <w:rFonts w:eastAsia="SimSun"/>
          <w:bCs/>
          <w:sz w:val="24"/>
          <w:szCs w:val="24"/>
          <w:lang w:eastAsia="zh-CN"/>
        </w:rPr>
      </w:pPr>
      <w:r w:rsidRPr="00767383">
        <w:rPr>
          <w:rFonts w:eastAsia="SimSun"/>
          <w:bCs/>
          <w:sz w:val="24"/>
          <w:szCs w:val="24"/>
          <w:lang w:eastAsia="zh-CN"/>
        </w:rPr>
        <w:t>Changsha, China, 15 – 19 April 2024</w:t>
      </w:r>
      <w:r w:rsidRPr="00767383">
        <w:rPr>
          <w:rFonts w:eastAsia="SimSun"/>
          <w:noProof w:val="0"/>
          <w:sz w:val="24"/>
          <w:szCs w:val="24"/>
          <w:lang w:eastAsia="zh-CN"/>
        </w:rPr>
        <w:tab/>
      </w:r>
    </w:p>
    <w:p w14:paraId="2E02E5F5" w14:textId="77777777" w:rsidR="00A209D6" w:rsidRPr="00767383" w:rsidRDefault="00A209D6" w:rsidP="00A209D6">
      <w:pPr>
        <w:pStyle w:val="Header"/>
        <w:rPr>
          <w:bCs/>
          <w:noProof w:val="0"/>
          <w:sz w:val="24"/>
        </w:rPr>
      </w:pPr>
    </w:p>
    <w:p w14:paraId="403CB9C0" w14:textId="77777777" w:rsidR="00A209D6" w:rsidRPr="00767383" w:rsidRDefault="00A209D6" w:rsidP="00A209D6">
      <w:pPr>
        <w:pStyle w:val="Header"/>
        <w:rPr>
          <w:bCs/>
          <w:noProof w:val="0"/>
          <w:sz w:val="24"/>
        </w:rPr>
      </w:pPr>
    </w:p>
    <w:p w14:paraId="310B92C9" w14:textId="629B2899" w:rsidR="00446C3A" w:rsidRPr="00767383" w:rsidRDefault="00446C3A" w:rsidP="00446C3A">
      <w:pPr>
        <w:pStyle w:val="CRCoverPage"/>
        <w:tabs>
          <w:tab w:val="left" w:pos="1985"/>
        </w:tabs>
        <w:rPr>
          <w:rFonts w:cs="Arial"/>
          <w:b/>
          <w:bCs/>
          <w:sz w:val="24"/>
          <w:lang w:eastAsia="ja-JP"/>
        </w:rPr>
      </w:pPr>
      <w:r w:rsidRPr="00767383">
        <w:rPr>
          <w:rFonts w:cs="Arial"/>
          <w:b/>
          <w:bCs/>
          <w:sz w:val="24"/>
        </w:rPr>
        <w:t>Agenda item:</w:t>
      </w:r>
      <w:r w:rsidRPr="00767383">
        <w:rPr>
          <w:rFonts w:cs="Arial"/>
          <w:b/>
          <w:bCs/>
          <w:sz w:val="24"/>
        </w:rPr>
        <w:tab/>
      </w:r>
      <w:r w:rsidR="00206F66" w:rsidRPr="00767383">
        <w:rPr>
          <w:rFonts w:cs="Arial"/>
          <w:b/>
          <w:bCs/>
          <w:sz w:val="24"/>
          <w:lang w:eastAsia="ja-JP"/>
        </w:rPr>
        <w:t>6</w:t>
      </w:r>
      <w:r w:rsidRPr="00767383">
        <w:rPr>
          <w:rFonts w:cs="Arial"/>
          <w:b/>
          <w:bCs/>
          <w:sz w:val="24"/>
          <w:lang w:eastAsia="ja-JP"/>
        </w:rPr>
        <w:t>.</w:t>
      </w:r>
      <w:r w:rsidR="00206F66" w:rsidRPr="00767383">
        <w:rPr>
          <w:rFonts w:cs="Arial"/>
          <w:b/>
          <w:bCs/>
          <w:sz w:val="24"/>
          <w:lang w:eastAsia="ja-JP"/>
        </w:rPr>
        <w:t>1</w:t>
      </w:r>
      <w:r w:rsidRPr="00767383">
        <w:rPr>
          <w:rFonts w:cs="Arial"/>
          <w:b/>
          <w:bCs/>
          <w:sz w:val="24"/>
          <w:lang w:eastAsia="ja-JP"/>
        </w:rPr>
        <w:t>.</w:t>
      </w:r>
      <w:r w:rsidR="00206F66" w:rsidRPr="00767383">
        <w:rPr>
          <w:rFonts w:cs="Arial"/>
          <w:b/>
          <w:bCs/>
          <w:sz w:val="24"/>
          <w:lang w:eastAsia="ja-JP"/>
        </w:rPr>
        <w:t>3.2</w:t>
      </w:r>
    </w:p>
    <w:p w14:paraId="73188B46" w14:textId="19F7AC33" w:rsidR="00446C3A" w:rsidRPr="00767383" w:rsidRDefault="00446C3A" w:rsidP="00446C3A">
      <w:pPr>
        <w:tabs>
          <w:tab w:val="left" w:pos="1985"/>
        </w:tabs>
        <w:ind w:left="1985" w:hanging="1985"/>
        <w:rPr>
          <w:rFonts w:ascii="Arial" w:hAnsi="Arial" w:cs="Arial"/>
          <w:b/>
          <w:bCs/>
          <w:sz w:val="24"/>
        </w:rPr>
      </w:pPr>
      <w:r w:rsidRPr="00767383">
        <w:rPr>
          <w:rFonts w:ascii="Arial" w:hAnsi="Arial" w:cs="Arial"/>
          <w:b/>
          <w:bCs/>
          <w:sz w:val="24"/>
        </w:rPr>
        <w:t>Source:</w:t>
      </w:r>
      <w:r w:rsidRPr="00767383">
        <w:rPr>
          <w:rFonts w:ascii="Arial" w:hAnsi="Arial" w:cs="Arial"/>
          <w:b/>
          <w:bCs/>
          <w:sz w:val="24"/>
        </w:rPr>
        <w:tab/>
        <w:t>Nokia</w:t>
      </w:r>
    </w:p>
    <w:p w14:paraId="553D264F" w14:textId="4E29205B" w:rsidR="00446C3A" w:rsidRPr="00767383" w:rsidRDefault="00446C3A" w:rsidP="00446C3A">
      <w:pPr>
        <w:ind w:left="1985" w:hanging="1985"/>
        <w:rPr>
          <w:rFonts w:ascii="Arial" w:hAnsi="Arial" w:cs="Arial"/>
          <w:b/>
          <w:bCs/>
          <w:sz w:val="24"/>
        </w:rPr>
      </w:pPr>
      <w:r w:rsidRPr="00767383">
        <w:rPr>
          <w:rFonts w:ascii="Arial" w:hAnsi="Arial" w:cs="Arial"/>
          <w:b/>
          <w:bCs/>
          <w:sz w:val="24"/>
        </w:rPr>
        <w:t>Title:</w:t>
      </w:r>
      <w:r w:rsidRPr="00767383">
        <w:rPr>
          <w:rFonts w:ascii="Arial" w:hAnsi="Arial" w:cs="Arial"/>
          <w:b/>
          <w:bCs/>
          <w:sz w:val="24"/>
        </w:rPr>
        <w:tab/>
      </w:r>
      <w:r w:rsidR="00206F66" w:rsidRPr="00767383">
        <w:rPr>
          <w:rFonts w:ascii="Arial" w:hAnsi="Arial" w:cs="Arial"/>
          <w:b/>
          <w:bCs/>
          <w:sz w:val="24"/>
        </w:rPr>
        <w:t>Inter-node signalling to support BCS5 aggregated bandwidth in NR-DC</w:t>
      </w:r>
    </w:p>
    <w:p w14:paraId="25F387E8" w14:textId="4A0A54E6" w:rsidR="00446C3A" w:rsidRPr="00767383" w:rsidRDefault="00446C3A" w:rsidP="00446C3A">
      <w:pPr>
        <w:ind w:left="1985" w:hanging="1985"/>
        <w:rPr>
          <w:rFonts w:ascii="Arial" w:hAnsi="Arial" w:cs="Arial"/>
          <w:b/>
          <w:bCs/>
          <w:sz w:val="24"/>
        </w:rPr>
      </w:pPr>
      <w:r w:rsidRPr="00767383">
        <w:rPr>
          <w:rFonts w:ascii="Arial" w:hAnsi="Arial" w:cs="Arial"/>
          <w:b/>
          <w:bCs/>
          <w:sz w:val="24"/>
        </w:rPr>
        <w:t>WID/SID:</w:t>
      </w:r>
      <w:r w:rsidRPr="00767383">
        <w:rPr>
          <w:rFonts w:ascii="Arial" w:hAnsi="Arial" w:cs="Arial"/>
          <w:b/>
          <w:bCs/>
          <w:sz w:val="24"/>
        </w:rPr>
        <w:tab/>
      </w:r>
      <w:r w:rsidR="006F3925" w:rsidRPr="00767383">
        <w:rPr>
          <w:rFonts w:ascii="Arial" w:hAnsi="Arial" w:cs="Arial"/>
          <w:b/>
          <w:bCs/>
          <w:sz w:val="24"/>
        </w:rPr>
        <w:t>NR_BCS4-Core, NR_RF_FR2_req_enh2-Core - Release 17</w:t>
      </w:r>
    </w:p>
    <w:p w14:paraId="6FEB19D6" w14:textId="77777777" w:rsidR="00446C3A" w:rsidRPr="00767383" w:rsidRDefault="00446C3A" w:rsidP="00446C3A">
      <w:pPr>
        <w:tabs>
          <w:tab w:val="left" w:pos="1985"/>
        </w:tabs>
        <w:rPr>
          <w:rFonts w:ascii="Arial" w:hAnsi="Arial" w:cs="Arial"/>
          <w:b/>
          <w:bCs/>
          <w:sz w:val="24"/>
        </w:rPr>
      </w:pPr>
      <w:r w:rsidRPr="00767383">
        <w:rPr>
          <w:rFonts w:ascii="Arial" w:hAnsi="Arial" w:cs="Arial"/>
          <w:b/>
          <w:bCs/>
          <w:sz w:val="24"/>
        </w:rPr>
        <w:t>Document for:</w:t>
      </w:r>
      <w:r w:rsidRPr="00767383">
        <w:rPr>
          <w:rFonts w:ascii="Arial" w:hAnsi="Arial" w:cs="Arial"/>
          <w:b/>
          <w:bCs/>
          <w:sz w:val="24"/>
        </w:rPr>
        <w:tab/>
        <w:t>Discussion and Decision</w:t>
      </w:r>
    </w:p>
    <w:p w14:paraId="294B1FC1" w14:textId="77777777" w:rsidR="00A209D6" w:rsidRPr="00767383" w:rsidRDefault="00A209D6" w:rsidP="00A209D6">
      <w:pPr>
        <w:pStyle w:val="Heading1"/>
      </w:pPr>
      <w:r w:rsidRPr="00767383">
        <w:t>1</w:t>
      </w:r>
      <w:r w:rsidRPr="00767383">
        <w:tab/>
        <w:t>Introduction</w:t>
      </w:r>
    </w:p>
    <w:p w14:paraId="6CE35FA8" w14:textId="6E209E3B" w:rsidR="00B80D3D" w:rsidRDefault="0055189A" w:rsidP="004D074C">
      <w:r w:rsidRPr="00767383">
        <w:t xml:space="preserve">At RAN2#125, </w:t>
      </w:r>
      <w:r w:rsidR="00EB22E1" w:rsidRPr="00767383">
        <w:t>CRs</w:t>
      </w:r>
      <w:r w:rsidR="00473796">
        <w:t xml:space="preserve"> </w:t>
      </w:r>
      <w:r w:rsidR="00FE555A">
        <w:t>in [1]-[4]</w:t>
      </w:r>
      <w:r w:rsidR="00EB22E1" w:rsidRPr="00767383">
        <w:t xml:space="preserve"> were agreed introducing maximum aggregated bandwidth </w:t>
      </w:r>
      <w:r w:rsidR="0027700F">
        <w:t>signalling</w:t>
      </w:r>
      <w:r w:rsidR="006E3285">
        <w:t xml:space="preserve">, </w:t>
      </w:r>
      <w:r w:rsidR="006E3285" w:rsidRPr="00BC41CA">
        <w:rPr>
          <w:i/>
          <w:iCs/>
        </w:rPr>
        <w:t>supportedAggBW-FR1-r17</w:t>
      </w:r>
      <w:r w:rsidR="006E3285">
        <w:rPr>
          <w:i/>
          <w:iCs/>
        </w:rPr>
        <w:t>,</w:t>
      </w:r>
      <w:r w:rsidR="00EB22E1" w:rsidRPr="00767383">
        <w:t xml:space="preserve"> for BCS5 band combinations</w:t>
      </w:r>
    </w:p>
    <w:p w14:paraId="61F8A4D7" w14:textId="46F2D508" w:rsidR="0085405D" w:rsidRDefault="0085405D" w:rsidP="00EE6F86">
      <w:r>
        <w:t xml:space="preserve">Although this signalling is intended to be applied also to NR-DC band combinations, at the time that the CRs were agreed, no inter-node signalling </w:t>
      </w:r>
      <w:r w:rsidR="008B63AC">
        <w:t>had yet been</w:t>
      </w:r>
      <w:r>
        <w:t xml:space="preserve"> specified for supporting NR-DC</w:t>
      </w:r>
      <w:r w:rsidR="00D51F08">
        <w:t xml:space="preserve">, </w:t>
      </w:r>
      <w:r>
        <w:t>and th</w:t>
      </w:r>
      <w:r w:rsidR="00D51F08">
        <w:t>e</w:t>
      </w:r>
      <w:r>
        <w:t xml:space="preserve"> </w:t>
      </w:r>
      <w:r w:rsidR="00D51F08">
        <w:t xml:space="preserve">following </w:t>
      </w:r>
      <w:r w:rsidR="00EE6F86">
        <w:t>was</w:t>
      </w:r>
      <w:r>
        <w:t xml:space="preserve"> captured in the CR cover sheets:</w:t>
      </w:r>
    </w:p>
    <w:p w14:paraId="4854EE57" w14:textId="1B6A3AAE" w:rsidR="009339CB" w:rsidRDefault="00B0381E" w:rsidP="0085405D">
      <w:pPr>
        <w:rPr>
          <w:noProof/>
          <w:lang w:eastAsia="ja-JP"/>
        </w:rPr>
      </w:pPr>
      <w:r>
        <w:rPr>
          <w:noProof/>
          <w:lang w:eastAsia="ja-JP"/>
        </w:rPr>
        <w:t>“</w:t>
      </w:r>
      <w:r w:rsidR="0085405D">
        <w:rPr>
          <w:noProof/>
          <w:lang w:eastAsia="ja-JP"/>
        </w:rPr>
        <w:t>NOTE: Inter-node signalling to support maximum aggregated bandwidth for BCS5 NR-DC will be specified later. A network may avoid configuring a UE to use NR-DC when that UE indicates supportedAggBW-FR1 for a BCS5 NR-DC band combination.</w:t>
      </w:r>
      <w:r>
        <w:rPr>
          <w:noProof/>
          <w:lang w:eastAsia="ja-JP"/>
        </w:rPr>
        <w:t>”</w:t>
      </w:r>
    </w:p>
    <w:p w14:paraId="3F201251" w14:textId="5E53882A" w:rsidR="00EE6F86" w:rsidRPr="00767383" w:rsidRDefault="00C32CB9" w:rsidP="0085405D">
      <w:r>
        <w:t>This contribution discusses the inter-node coordination that will need to be specified to support</w:t>
      </w:r>
      <w:r w:rsidR="00B0381E">
        <w:t xml:space="preserve"> the</w:t>
      </w:r>
      <w:r>
        <w:t xml:space="preserve"> BCS5 </w:t>
      </w:r>
      <w:r w:rsidR="00B0381E">
        <w:t xml:space="preserve">maximum aggregated bandwidth signalling </w:t>
      </w:r>
      <w:r>
        <w:t>for NR-DC band combinations.</w:t>
      </w:r>
    </w:p>
    <w:p w14:paraId="7D484B6E" w14:textId="268F4176" w:rsidR="009339CB" w:rsidRPr="00767383" w:rsidRDefault="009339CB" w:rsidP="009339CB">
      <w:pPr>
        <w:pStyle w:val="Heading1"/>
      </w:pPr>
      <w:r w:rsidRPr="00767383">
        <w:t>2</w:t>
      </w:r>
      <w:r w:rsidRPr="00767383">
        <w:tab/>
      </w:r>
      <w:r w:rsidR="001A178D" w:rsidRPr="00767383">
        <w:t>Discussion</w:t>
      </w:r>
    </w:p>
    <w:p w14:paraId="5982B445" w14:textId="0F31D5A7" w:rsidR="009339CB" w:rsidRPr="00767383" w:rsidRDefault="009339CB" w:rsidP="009339CB">
      <w:pPr>
        <w:pStyle w:val="Heading2"/>
      </w:pPr>
      <w:r w:rsidRPr="00767383">
        <w:t>2.1</w:t>
      </w:r>
      <w:r w:rsidRPr="00767383">
        <w:tab/>
      </w:r>
      <w:r w:rsidR="001A178D" w:rsidRPr="00767383">
        <w:t>Required inter-node signalling to enable BCS5 NR-DC</w:t>
      </w:r>
    </w:p>
    <w:p w14:paraId="4606F4DD" w14:textId="7A38B52B" w:rsidR="00893FDA" w:rsidRDefault="00B4751E" w:rsidP="00893FDA">
      <w:r>
        <w:t>Using</w:t>
      </w:r>
      <w:r w:rsidR="007549D2">
        <w:t xml:space="preserve"> a</w:t>
      </w:r>
      <w:r>
        <w:t xml:space="preserve"> similar </w:t>
      </w:r>
      <w:r w:rsidR="00060EA7">
        <w:t>argument</w:t>
      </w:r>
      <w:r>
        <w:t xml:space="preserve"> as [5], we present an example to show why </w:t>
      </w:r>
      <w:r w:rsidR="00531035">
        <w:t xml:space="preserve">inter-node coordination is critical to properly support the </w:t>
      </w:r>
      <w:r w:rsidR="00531035">
        <w:rPr>
          <w:i/>
          <w:iCs/>
        </w:rPr>
        <w:t xml:space="preserve">supportedAggBW-FR1-r17 </w:t>
      </w:r>
      <w:r w:rsidR="00531035">
        <w:t>capability for BCS5 NR-DC band combinations.</w:t>
      </w:r>
      <w:r w:rsidR="008C076E">
        <w:t xml:space="preserve"> For example, </w:t>
      </w:r>
      <w:r w:rsidR="00893FDA">
        <w:t>for the NR-DC BCS5 combination DC</w:t>
      </w:r>
      <w:r w:rsidR="00893FDA" w:rsidRPr="00770977">
        <w:t>_n1A-n3A-n78A</w:t>
      </w:r>
      <w:r w:rsidR="00893FDA">
        <w:t>, a UE might support the following cell groupings between the Master Node (MN) and Secondary Node (SN):</w:t>
      </w:r>
    </w:p>
    <w:tbl>
      <w:tblPr>
        <w:tblStyle w:val="TableGrid"/>
        <w:tblW w:w="0" w:type="auto"/>
        <w:jc w:val="center"/>
        <w:tblLook w:val="04A0" w:firstRow="1" w:lastRow="0" w:firstColumn="1" w:lastColumn="0" w:noHBand="0" w:noVBand="1"/>
      </w:tblPr>
      <w:tblGrid>
        <w:gridCol w:w="2268"/>
        <w:gridCol w:w="2268"/>
        <w:gridCol w:w="2268"/>
      </w:tblGrid>
      <w:tr w:rsidR="00893FDA" w14:paraId="52CE11E7" w14:textId="77777777" w:rsidTr="00160ACD">
        <w:trPr>
          <w:trHeight w:val="227"/>
          <w:jc w:val="center"/>
        </w:trPr>
        <w:tc>
          <w:tcPr>
            <w:tcW w:w="2268" w:type="dxa"/>
          </w:tcPr>
          <w:p w14:paraId="13EC8DF7" w14:textId="77777777" w:rsidR="00893FDA" w:rsidRPr="002C2844" w:rsidRDefault="00893FDA" w:rsidP="00160ACD">
            <w:pPr>
              <w:spacing w:after="0"/>
              <w:ind w:left="0" w:firstLine="0"/>
              <w:jc w:val="center"/>
              <w:rPr>
                <w:rFonts w:ascii="Times New Roman" w:hAnsi="Times New Roman" w:cs="Times New Roman"/>
                <w:b/>
                <w:bCs/>
                <w:color w:val="auto"/>
                <w:sz w:val="20"/>
                <w:szCs w:val="20"/>
              </w:rPr>
            </w:pPr>
            <w:r w:rsidRPr="002C2844">
              <w:rPr>
                <w:rFonts w:ascii="Times New Roman" w:hAnsi="Times New Roman" w:cs="Times New Roman"/>
                <w:b/>
                <w:bCs/>
                <w:color w:val="auto"/>
                <w:sz w:val="20"/>
                <w:szCs w:val="20"/>
              </w:rPr>
              <w:t>Cell grouping</w:t>
            </w:r>
          </w:p>
        </w:tc>
        <w:tc>
          <w:tcPr>
            <w:tcW w:w="2268" w:type="dxa"/>
          </w:tcPr>
          <w:p w14:paraId="750F01BD" w14:textId="77777777" w:rsidR="00893FDA" w:rsidRPr="002C2844" w:rsidRDefault="00893FDA" w:rsidP="00160ACD">
            <w:pPr>
              <w:spacing w:after="0"/>
              <w:ind w:left="0" w:firstLine="0"/>
              <w:jc w:val="center"/>
              <w:rPr>
                <w:rFonts w:ascii="Times New Roman" w:hAnsi="Times New Roman" w:cs="Times New Roman"/>
                <w:b/>
                <w:bCs/>
                <w:color w:val="auto"/>
                <w:sz w:val="20"/>
                <w:szCs w:val="20"/>
              </w:rPr>
            </w:pPr>
            <w:r w:rsidRPr="002C2844">
              <w:rPr>
                <w:rFonts w:ascii="Times New Roman" w:hAnsi="Times New Roman" w:cs="Times New Roman"/>
                <w:b/>
                <w:bCs/>
                <w:color w:val="auto"/>
                <w:sz w:val="20"/>
                <w:szCs w:val="20"/>
              </w:rPr>
              <w:t>MN</w:t>
            </w:r>
          </w:p>
        </w:tc>
        <w:tc>
          <w:tcPr>
            <w:tcW w:w="2268" w:type="dxa"/>
          </w:tcPr>
          <w:p w14:paraId="5BC294AA" w14:textId="77777777" w:rsidR="00893FDA" w:rsidRPr="002C2844" w:rsidRDefault="00893FDA" w:rsidP="00160ACD">
            <w:pPr>
              <w:spacing w:after="0"/>
              <w:ind w:left="0" w:firstLine="0"/>
              <w:jc w:val="center"/>
              <w:rPr>
                <w:rFonts w:ascii="Times New Roman" w:hAnsi="Times New Roman" w:cs="Times New Roman"/>
                <w:b/>
                <w:bCs/>
                <w:color w:val="auto"/>
                <w:sz w:val="20"/>
                <w:szCs w:val="20"/>
              </w:rPr>
            </w:pPr>
            <w:r w:rsidRPr="002C2844">
              <w:rPr>
                <w:rFonts w:ascii="Times New Roman" w:hAnsi="Times New Roman" w:cs="Times New Roman"/>
                <w:b/>
                <w:bCs/>
                <w:color w:val="auto"/>
                <w:sz w:val="20"/>
                <w:szCs w:val="20"/>
              </w:rPr>
              <w:t>SN</w:t>
            </w:r>
          </w:p>
        </w:tc>
      </w:tr>
      <w:tr w:rsidR="00893FDA" w14:paraId="45F43190" w14:textId="77777777" w:rsidTr="00160ACD">
        <w:trPr>
          <w:trHeight w:val="227"/>
          <w:jc w:val="center"/>
        </w:trPr>
        <w:tc>
          <w:tcPr>
            <w:tcW w:w="2268" w:type="dxa"/>
          </w:tcPr>
          <w:p w14:paraId="4691A415"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1</w:t>
            </w:r>
          </w:p>
        </w:tc>
        <w:tc>
          <w:tcPr>
            <w:tcW w:w="2268" w:type="dxa"/>
          </w:tcPr>
          <w:p w14:paraId="5C509950"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n1-n3</w:t>
            </w:r>
          </w:p>
        </w:tc>
        <w:tc>
          <w:tcPr>
            <w:tcW w:w="2268" w:type="dxa"/>
          </w:tcPr>
          <w:p w14:paraId="1B166A2E"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n78</w:t>
            </w:r>
          </w:p>
        </w:tc>
      </w:tr>
      <w:tr w:rsidR="00893FDA" w14:paraId="652D7B03" w14:textId="77777777" w:rsidTr="00160ACD">
        <w:trPr>
          <w:trHeight w:val="227"/>
          <w:jc w:val="center"/>
        </w:trPr>
        <w:tc>
          <w:tcPr>
            <w:tcW w:w="2268" w:type="dxa"/>
          </w:tcPr>
          <w:p w14:paraId="441E4CC2"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2</w:t>
            </w:r>
          </w:p>
        </w:tc>
        <w:tc>
          <w:tcPr>
            <w:tcW w:w="2268" w:type="dxa"/>
          </w:tcPr>
          <w:p w14:paraId="59739A72"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n1</w:t>
            </w:r>
          </w:p>
        </w:tc>
        <w:tc>
          <w:tcPr>
            <w:tcW w:w="2268" w:type="dxa"/>
          </w:tcPr>
          <w:p w14:paraId="42F8FDCD"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n3-78</w:t>
            </w:r>
          </w:p>
        </w:tc>
      </w:tr>
      <w:tr w:rsidR="00893FDA" w14:paraId="7E8FCD88" w14:textId="77777777" w:rsidTr="00160ACD">
        <w:trPr>
          <w:trHeight w:val="227"/>
          <w:jc w:val="center"/>
        </w:trPr>
        <w:tc>
          <w:tcPr>
            <w:tcW w:w="2268" w:type="dxa"/>
          </w:tcPr>
          <w:p w14:paraId="1CD4FE41"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3</w:t>
            </w:r>
          </w:p>
        </w:tc>
        <w:tc>
          <w:tcPr>
            <w:tcW w:w="2268" w:type="dxa"/>
          </w:tcPr>
          <w:p w14:paraId="322AC720"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n1-n78</w:t>
            </w:r>
          </w:p>
        </w:tc>
        <w:tc>
          <w:tcPr>
            <w:tcW w:w="2268" w:type="dxa"/>
          </w:tcPr>
          <w:p w14:paraId="2E25E35A"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n3</w:t>
            </w:r>
          </w:p>
        </w:tc>
      </w:tr>
    </w:tbl>
    <w:p w14:paraId="6DCCD270" w14:textId="77777777" w:rsidR="00893FDA" w:rsidRDefault="00893FDA" w:rsidP="00893FDA">
      <w:pPr>
        <w:spacing w:after="0"/>
      </w:pPr>
      <w:r>
        <w:br/>
        <w:t>And assume the UE reports the following capabilities for this NR-DC band combination:</w:t>
      </w:r>
    </w:p>
    <w:p w14:paraId="65B21297" w14:textId="77777777" w:rsidR="00893FDA" w:rsidRDefault="00893FDA" w:rsidP="00893FDA">
      <w:pPr>
        <w:spacing w:after="0"/>
      </w:pPr>
    </w:p>
    <w:tbl>
      <w:tblPr>
        <w:tblStyle w:val="TableGrid"/>
        <w:tblW w:w="0" w:type="auto"/>
        <w:jc w:val="center"/>
        <w:tblLook w:val="04A0" w:firstRow="1" w:lastRow="0" w:firstColumn="1" w:lastColumn="0" w:noHBand="0" w:noVBand="1"/>
      </w:tblPr>
      <w:tblGrid>
        <w:gridCol w:w="3119"/>
        <w:gridCol w:w="3402"/>
        <w:gridCol w:w="1842"/>
      </w:tblGrid>
      <w:tr w:rsidR="00893FDA" w:rsidRPr="001C0E65" w14:paraId="639E2961" w14:textId="77777777" w:rsidTr="00702A2D">
        <w:trPr>
          <w:jc w:val="center"/>
        </w:trPr>
        <w:tc>
          <w:tcPr>
            <w:tcW w:w="3119" w:type="dxa"/>
            <w:vMerge w:val="restart"/>
            <w:vAlign w:val="center"/>
          </w:tcPr>
          <w:p w14:paraId="7B800717"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b/>
                <w:bCs/>
                <w:i/>
                <w:iCs/>
                <w:color w:val="auto"/>
                <w:sz w:val="20"/>
                <w:szCs w:val="20"/>
              </w:rPr>
              <w:t>supportedBandwidthDL-v17x0 / supportedBandwidthUL-v17x0</w:t>
            </w:r>
          </w:p>
        </w:tc>
        <w:tc>
          <w:tcPr>
            <w:tcW w:w="3402" w:type="dxa"/>
          </w:tcPr>
          <w:p w14:paraId="799CEE32"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b/>
                <w:bCs/>
                <w:color w:val="auto"/>
                <w:sz w:val="20"/>
                <w:szCs w:val="20"/>
              </w:rPr>
              <w:t>n1</w:t>
            </w:r>
          </w:p>
        </w:tc>
        <w:tc>
          <w:tcPr>
            <w:tcW w:w="1842" w:type="dxa"/>
          </w:tcPr>
          <w:p w14:paraId="146AE349"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40</w:t>
            </w:r>
          </w:p>
        </w:tc>
      </w:tr>
      <w:tr w:rsidR="00893FDA" w:rsidRPr="001C0E65" w14:paraId="514678BA" w14:textId="77777777" w:rsidTr="00702A2D">
        <w:trPr>
          <w:jc w:val="center"/>
        </w:trPr>
        <w:tc>
          <w:tcPr>
            <w:tcW w:w="3119" w:type="dxa"/>
            <w:vMerge/>
            <w:vAlign w:val="center"/>
          </w:tcPr>
          <w:p w14:paraId="45A6617A" w14:textId="77777777" w:rsidR="00893FDA" w:rsidRPr="002C2844" w:rsidRDefault="00893FDA" w:rsidP="00160ACD">
            <w:pPr>
              <w:spacing w:after="0"/>
              <w:ind w:left="0" w:firstLine="0"/>
              <w:jc w:val="center"/>
              <w:rPr>
                <w:rFonts w:ascii="Times New Roman" w:hAnsi="Times New Roman" w:cs="Times New Roman"/>
                <w:color w:val="auto"/>
                <w:sz w:val="20"/>
                <w:szCs w:val="20"/>
              </w:rPr>
            </w:pPr>
          </w:p>
        </w:tc>
        <w:tc>
          <w:tcPr>
            <w:tcW w:w="3402" w:type="dxa"/>
          </w:tcPr>
          <w:p w14:paraId="1AF66D19"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b/>
                <w:bCs/>
                <w:color w:val="auto"/>
                <w:sz w:val="20"/>
                <w:szCs w:val="20"/>
              </w:rPr>
              <w:t>n3</w:t>
            </w:r>
          </w:p>
        </w:tc>
        <w:tc>
          <w:tcPr>
            <w:tcW w:w="1842" w:type="dxa"/>
          </w:tcPr>
          <w:p w14:paraId="7AC42182"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40</w:t>
            </w:r>
          </w:p>
        </w:tc>
      </w:tr>
      <w:tr w:rsidR="00893FDA" w:rsidRPr="001C0E65" w14:paraId="07E0902F" w14:textId="77777777" w:rsidTr="00702A2D">
        <w:trPr>
          <w:jc w:val="center"/>
        </w:trPr>
        <w:tc>
          <w:tcPr>
            <w:tcW w:w="3119" w:type="dxa"/>
            <w:vMerge/>
            <w:vAlign w:val="center"/>
          </w:tcPr>
          <w:p w14:paraId="17926531" w14:textId="77777777" w:rsidR="00893FDA" w:rsidRPr="002C2844" w:rsidRDefault="00893FDA" w:rsidP="00160ACD">
            <w:pPr>
              <w:spacing w:after="0"/>
              <w:ind w:left="0" w:firstLine="0"/>
              <w:jc w:val="center"/>
              <w:rPr>
                <w:rFonts w:ascii="Times New Roman" w:hAnsi="Times New Roman" w:cs="Times New Roman"/>
                <w:color w:val="auto"/>
                <w:sz w:val="20"/>
                <w:szCs w:val="20"/>
              </w:rPr>
            </w:pPr>
          </w:p>
        </w:tc>
        <w:tc>
          <w:tcPr>
            <w:tcW w:w="3402" w:type="dxa"/>
          </w:tcPr>
          <w:p w14:paraId="6640D8AC"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b/>
                <w:bCs/>
                <w:color w:val="auto"/>
                <w:sz w:val="20"/>
                <w:szCs w:val="20"/>
              </w:rPr>
              <w:t>n78</w:t>
            </w:r>
          </w:p>
        </w:tc>
        <w:tc>
          <w:tcPr>
            <w:tcW w:w="1842" w:type="dxa"/>
          </w:tcPr>
          <w:p w14:paraId="60C53073"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100</w:t>
            </w:r>
          </w:p>
        </w:tc>
      </w:tr>
      <w:tr w:rsidR="00893FDA" w:rsidRPr="001C0E65" w14:paraId="5DBA95B8" w14:textId="77777777" w:rsidTr="00702A2D">
        <w:trPr>
          <w:jc w:val="center"/>
        </w:trPr>
        <w:tc>
          <w:tcPr>
            <w:tcW w:w="3119" w:type="dxa"/>
            <w:vMerge w:val="restart"/>
            <w:vAlign w:val="center"/>
          </w:tcPr>
          <w:p w14:paraId="4D081DD6" w14:textId="77777777" w:rsidR="00893FDA" w:rsidRPr="002C2844" w:rsidRDefault="00893FDA" w:rsidP="00160ACD">
            <w:pPr>
              <w:spacing w:after="0"/>
              <w:ind w:left="0" w:firstLine="0"/>
              <w:jc w:val="center"/>
              <w:rPr>
                <w:rFonts w:ascii="Times New Roman" w:hAnsi="Times New Roman" w:cs="Times New Roman"/>
                <w:b/>
                <w:bCs/>
                <w:color w:val="auto"/>
                <w:sz w:val="20"/>
                <w:szCs w:val="20"/>
              </w:rPr>
            </w:pPr>
            <w:r w:rsidRPr="002C2844">
              <w:rPr>
                <w:rFonts w:ascii="Times New Roman" w:hAnsi="Times New Roman" w:cs="Times New Roman"/>
                <w:b/>
                <w:bCs/>
                <w:i/>
                <w:iCs/>
                <w:color w:val="auto"/>
                <w:sz w:val="20"/>
                <w:szCs w:val="20"/>
              </w:rPr>
              <w:t>supportedAggBW-FR1-r17</w:t>
            </w:r>
          </w:p>
        </w:tc>
        <w:tc>
          <w:tcPr>
            <w:tcW w:w="3402" w:type="dxa"/>
          </w:tcPr>
          <w:p w14:paraId="4B6D6E83" w14:textId="77777777" w:rsidR="00893FDA" w:rsidRPr="002C2844" w:rsidRDefault="00893FDA" w:rsidP="00160ACD">
            <w:pPr>
              <w:spacing w:after="0"/>
              <w:ind w:left="0" w:firstLine="0"/>
              <w:jc w:val="center"/>
              <w:rPr>
                <w:rFonts w:ascii="Times New Roman" w:hAnsi="Times New Roman" w:cs="Times New Roman"/>
                <w:b/>
                <w:bCs/>
                <w:i/>
                <w:iCs/>
                <w:color w:val="auto"/>
                <w:sz w:val="20"/>
                <w:szCs w:val="20"/>
              </w:rPr>
            </w:pPr>
            <w:r w:rsidRPr="002C2844">
              <w:rPr>
                <w:rFonts w:ascii="Times New Roman" w:hAnsi="Times New Roman" w:cs="Times New Roman"/>
                <w:b/>
                <w:bCs/>
                <w:i/>
                <w:iCs/>
                <w:color w:val="auto"/>
                <w:sz w:val="20"/>
                <w:szCs w:val="20"/>
              </w:rPr>
              <w:t>supportedAggBW-FDD-DL-r17 / supportedAggBW-FDD-UL-r17</w:t>
            </w:r>
          </w:p>
        </w:tc>
        <w:tc>
          <w:tcPr>
            <w:tcW w:w="1842" w:type="dxa"/>
          </w:tcPr>
          <w:p w14:paraId="40357447"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6</w:t>
            </w:r>
            <w:r w:rsidRPr="002C2844">
              <w:rPr>
                <w:rFonts w:ascii="Times New Roman" w:hAnsi="Times New Roman" w:cs="Times New Roman"/>
                <w:color w:val="auto"/>
                <w:sz w:val="20"/>
                <w:szCs w:val="20"/>
              </w:rPr>
              <w:t>0</w:t>
            </w:r>
          </w:p>
        </w:tc>
      </w:tr>
      <w:tr w:rsidR="00893FDA" w:rsidRPr="001C0E65" w14:paraId="3871E1BB" w14:textId="77777777" w:rsidTr="00702A2D">
        <w:trPr>
          <w:jc w:val="center"/>
        </w:trPr>
        <w:tc>
          <w:tcPr>
            <w:tcW w:w="3119" w:type="dxa"/>
            <w:vMerge/>
          </w:tcPr>
          <w:p w14:paraId="5A0E8A16" w14:textId="77777777" w:rsidR="00893FDA" w:rsidRPr="002C2844" w:rsidRDefault="00893FDA" w:rsidP="00160ACD">
            <w:pPr>
              <w:spacing w:after="0"/>
              <w:ind w:left="0" w:firstLine="0"/>
              <w:jc w:val="center"/>
              <w:rPr>
                <w:rFonts w:ascii="Times New Roman" w:hAnsi="Times New Roman" w:cs="Times New Roman"/>
                <w:b/>
                <w:bCs/>
                <w:color w:val="auto"/>
                <w:sz w:val="20"/>
                <w:szCs w:val="20"/>
              </w:rPr>
            </w:pPr>
          </w:p>
        </w:tc>
        <w:tc>
          <w:tcPr>
            <w:tcW w:w="3402" w:type="dxa"/>
          </w:tcPr>
          <w:p w14:paraId="7AD44A73" w14:textId="77777777" w:rsidR="00893FDA" w:rsidRPr="002C2844" w:rsidRDefault="00893FDA" w:rsidP="00160ACD">
            <w:pPr>
              <w:spacing w:after="0"/>
              <w:ind w:left="0" w:firstLine="0"/>
              <w:jc w:val="center"/>
              <w:rPr>
                <w:rFonts w:ascii="Times New Roman" w:hAnsi="Times New Roman" w:cs="Times New Roman"/>
                <w:b/>
                <w:bCs/>
                <w:i/>
                <w:iCs/>
                <w:color w:val="auto"/>
                <w:sz w:val="20"/>
                <w:szCs w:val="20"/>
              </w:rPr>
            </w:pPr>
            <w:r w:rsidRPr="002C2844">
              <w:rPr>
                <w:rFonts w:ascii="Times New Roman" w:hAnsi="Times New Roman" w:cs="Times New Roman"/>
                <w:b/>
                <w:bCs/>
                <w:i/>
                <w:iCs/>
                <w:color w:val="auto"/>
                <w:sz w:val="20"/>
                <w:szCs w:val="20"/>
              </w:rPr>
              <w:t>supportedAggBW-TDD-DL-r17 /</w:t>
            </w:r>
          </w:p>
          <w:p w14:paraId="3D392386" w14:textId="77777777" w:rsidR="00893FDA" w:rsidRPr="002C2844" w:rsidRDefault="00893FDA" w:rsidP="00160ACD">
            <w:pPr>
              <w:spacing w:after="0"/>
              <w:ind w:left="0" w:firstLine="0"/>
              <w:jc w:val="center"/>
              <w:rPr>
                <w:rFonts w:ascii="Times New Roman" w:hAnsi="Times New Roman" w:cs="Times New Roman"/>
                <w:b/>
                <w:bCs/>
                <w:i/>
                <w:iCs/>
                <w:color w:val="auto"/>
                <w:sz w:val="20"/>
                <w:szCs w:val="20"/>
              </w:rPr>
            </w:pPr>
            <w:r w:rsidRPr="002C2844">
              <w:rPr>
                <w:rFonts w:ascii="Times New Roman" w:hAnsi="Times New Roman" w:cs="Times New Roman"/>
                <w:b/>
                <w:bCs/>
                <w:i/>
                <w:iCs/>
                <w:color w:val="auto"/>
                <w:sz w:val="20"/>
                <w:szCs w:val="20"/>
              </w:rPr>
              <w:t>supportedAggBW-TDD-UL-r17</w:t>
            </w:r>
          </w:p>
        </w:tc>
        <w:tc>
          <w:tcPr>
            <w:tcW w:w="1842" w:type="dxa"/>
          </w:tcPr>
          <w:p w14:paraId="5414AE5C"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100</w:t>
            </w:r>
          </w:p>
        </w:tc>
      </w:tr>
      <w:tr w:rsidR="00893FDA" w:rsidRPr="001C0E65" w14:paraId="5DFCD475" w14:textId="77777777" w:rsidTr="00702A2D">
        <w:trPr>
          <w:jc w:val="center"/>
        </w:trPr>
        <w:tc>
          <w:tcPr>
            <w:tcW w:w="3119" w:type="dxa"/>
            <w:vMerge/>
          </w:tcPr>
          <w:p w14:paraId="03ED8267" w14:textId="77777777" w:rsidR="00893FDA" w:rsidRPr="002C2844" w:rsidRDefault="00893FDA" w:rsidP="00160ACD">
            <w:pPr>
              <w:spacing w:after="0"/>
              <w:ind w:left="0" w:firstLine="0"/>
              <w:jc w:val="center"/>
              <w:rPr>
                <w:rFonts w:ascii="Times New Roman" w:hAnsi="Times New Roman" w:cs="Times New Roman"/>
                <w:b/>
                <w:bCs/>
                <w:color w:val="auto"/>
                <w:sz w:val="20"/>
                <w:szCs w:val="20"/>
              </w:rPr>
            </w:pPr>
          </w:p>
        </w:tc>
        <w:tc>
          <w:tcPr>
            <w:tcW w:w="3402" w:type="dxa"/>
          </w:tcPr>
          <w:p w14:paraId="49B05720" w14:textId="77777777" w:rsidR="00893FDA" w:rsidRPr="002C2844" w:rsidRDefault="00893FDA" w:rsidP="00160ACD">
            <w:pPr>
              <w:spacing w:after="0"/>
              <w:ind w:left="0" w:firstLine="0"/>
              <w:jc w:val="center"/>
              <w:rPr>
                <w:rFonts w:ascii="Times New Roman" w:hAnsi="Times New Roman" w:cs="Times New Roman"/>
                <w:b/>
                <w:bCs/>
                <w:i/>
                <w:iCs/>
                <w:color w:val="auto"/>
                <w:sz w:val="20"/>
                <w:szCs w:val="20"/>
              </w:rPr>
            </w:pPr>
            <w:r w:rsidRPr="002C2844">
              <w:rPr>
                <w:rFonts w:ascii="Times New Roman" w:hAnsi="Times New Roman" w:cs="Times New Roman"/>
                <w:b/>
                <w:bCs/>
                <w:i/>
                <w:iCs/>
                <w:color w:val="auto"/>
                <w:sz w:val="20"/>
                <w:szCs w:val="20"/>
              </w:rPr>
              <w:t>supportedAggBW-Total-DL-r17 /</w:t>
            </w:r>
          </w:p>
          <w:p w14:paraId="0D0B38D3" w14:textId="77777777" w:rsidR="00893FDA" w:rsidRPr="002C2844" w:rsidRDefault="00893FDA" w:rsidP="00160ACD">
            <w:pPr>
              <w:spacing w:after="0"/>
              <w:ind w:left="0" w:firstLine="0"/>
              <w:jc w:val="center"/>
              <w:rPr>
                <w:rFonts w:ascii="Times New Roman" w:hAnsi="Times New Roman" w:cs="Times New Roman"/>
                <w:b/>
                <w:bCs/>
                <w:i/>
                <w:iCs/>
                <w:color w:val="auto"/>
                <w:sz w:val="20"/>
                <w:szCs w:val="20"/>
              </w:rPr>
            </w:pPr>
            <w:r w:rsidRPr="002C2844">
              <w:rPr>
                <w:rFonts w:ascii="Times New Roman" w:hAnsi="Times New Roman" w:cs="Times New Roman"/>
                <w:b/>
                <w:bCs/>
                <w:i/>
                <w:iCs/>
                <w:color w:val="auto"/>
                <w:sz w:val="20"/>
                <w:szCs w:val="20"/>
              </w:rPr>
              <w:t>supportedAggBW-Total-UL-r17</w:t>
            </w:r>
          </w:p>
        </w:tc>
        <w:tc>
          <w:tcPr>
            <w:tcW w:w="1842" w:type="dxa"/>
          </w:tcPr>
          <w:p w14:paraId="028FB419" w14:textId="77777777" w:rsidR="00893FDA" w:rsidRPr="002C2844" w:rsidRDefault="00893FDA" w:rsidP="00160ACD">
            <w:pPr>
              <w:spacing w:after="0"/>
              <w:ind w:left="0" w:firstLine="0"/>
              <w:jc w:val="center"/>
              <w:rPr>
                <w:rFonts w:ascii="Times New Roman" w:hAnsi="Times New Roman" w:cs="Times New Roman"/>
                <w:color w:val="auto"/>
                <w:sz w:val="20"/>
                <w:szCs w:val="20"/>
              </w:rPr>
            </w:pPr>
            <w:r w:rsidRPr="002C2844">
              <w:rPr>
                <w:rFonts w:ascii="Times New Roman" w:hAnsi="Times New Roman" w:cs="Times New Roman"/>
                <w:color w:val="auto"/>
                <w:sz w:val="20"/>
                <w:szCs w:val="20"/>
              </w:rPr>
              <w:t>140</w:t>
            </w:r>
          </w:p>
        </w:tc>
      </w:tr>
    </w:tbl>
    <w:p w14:paraId="5F618280" w14:textId="476F813F" w:rsidR="008C076E" w:rsidRDefault="008C076E" w:rsidP="009339CB"/>
    <w:p w14:paraId="6F471B23" w14:textId="1C080BB2" w:rsidR="00560C82" w:rsidRDefault="00560C82" w:rsidP="00560C82">
      <w:pPr>
        <w:spacing w:before="120"/>
        <w:rPr>
          <w:b/>
          <w:bCs/>
        </w:rPr>
      </w:pPr>
      <w:r>
        <w:lastRenderedPageBreak/>
        <w:t>Presently (i.e. based on the current agreed CRs), the UE capabilities can be signalled from the MN to the SN, so the SN would be aware of the above UE</w:t>
      </w:r>
      <w:r w:rsidR="008567BC">
        <w:t xml:space="preserve"> bandwidth</w:t>
      </w:r>
      <w:r>
        <w:t xml:space="preserve"> limitations for the BC. However, based on the current signalling</w:t>
      </w:r>
      <w:r w:rsidR="00460539">
        <w:t xml:space="preserve"> that has been </w:t>
      </w:r>
      <w:r w:rsidR="00460539" w:rsidRPr="00E85C9E">
        <w:t>specified</w:t>
      </w:r>
      <w:r w:rsidRPr="00E85C9E">
        <w:t>, the SN has no way of knowing how much of the maximum aggregated bandwidth is currently in use</w:t>
      </w:r>
      <w:r w:rsidR="00E85C9E" w:rsidRPr="00E85C9E">
        <w:t xml:space="preserve"> (</w:t>
      </w:r>
      <w:r w:rsidRPr="00E85C9E">
        <w:t xml:space="preserve">or reserved </w:t>
      </w:r>
      <w:r w:rsidR="00E85C9E" w:rsidRPr="00E85C9E">
        <w:t>for use)</w:t>
      </w:r>
      <w:r w:rsidRPr="00E85C9E">
        <w:t xml:space="preserve"> at the MN</w:t>
      </w:r>
      <w:r w:rsidR="00E85C9E" w:rsidRPr="00E85C9E">
        <w:t>, or, equivalently,</w:t>
      </w:r>
      <w:r w:rsidRPr="00E85C9E">
        <w:t xml:space="preserve"> how much bandwidth can be configured at the SN.</w:t>
      </w:r>
      <w:r>
        <w:rPr>
          <w:b/>
          <w:bCs/>
        </w:rPr>
        <w:t xml:space="preserve"> </w:t>
      </w:r>
    </w:p>
    <w:p w14:paraId="15E9126A" w14:textId="42F46B57" w:rsidR="00560C82" w:rsidRDefault="00560C82" w:rsidP="00560C82">
      <w:pPr>
        <w:spacing w:before="120"/>
      </w:pPr>
      <w:r>
        <w:t>For example, in cell grouping 1, if the MN has already configured the UE with 30 MHz in each of n1 and n3 (60 MHz total), and if the SN only looks at the capabilities without knowing what is already configured by the MN, then the SN might try to configure the UE with 100 MHz in n78</w:t>
      </w:r>
      <w:r w:rsidR="0012782E">
        <w:t>,</w:t>
      </w:r>
      <w:r w:rsidR="0054216F">
        <w:t xml:space="preserve"> for</w:t>
      </w:r>
      <w:r w:rsidR="0012782E">
        <w:t xml:space="preserve"> a total BW of 160 MHz (100 MHz from the SN + 60 MHz from the MN</w:t>
      </w:r>
      <w:r w:rsidR="001D09E8">
        <w:t>)</w:t>
      </w:r>
      <w:r>
        <w:t xml:space="preserve">, exceeding the UE’s  </w:t>
      </w:r>
      <w:proofErr w:type="spellStart"/>
      <w:r w:rsidRPr="00DB68CB">
        <w:rPr>
          <w:i/>
          <w:iCs/>
        </w:rPr>
        <w:t>supportedAggBW</w:t>
      </w:r>
      <w:proofErr w:type="spellEnd"/>
      <w:r w:rsidRPr="00DB68CB">
        <w:rPr>
          <w:i/>
          <w:iCs/>
        </w:rPr>
        <w:t>-Total-DL/UL</w:t>
      </w:r>
      <w:r>
        <w:t xml:space="preserve"> capabilities</w:t>
      </w:r>
      <w:r w:rsidR="0054216F">
        <w:t xml:space="preserve"> of 140 Mhz</w:t>
      </w:r>
      <w:r>
        <w:t>.</w:t>
      </w:r>
    </w:p>
    <w:p w14:paraId="29743A5C" w14:textId="0D8BE728" w:rsidR="00560C82" w:rsidRDefault="00560C82" w:rsidP="00560C82">
      <w:pPr>
        <w:spacing w:before="120"/>
      </w:pPr>
      <w:r>
        <w:t xml:space="preserve">As another example, in cell grouping </w:t>
      </w:r>
      <w:r w:rsidR="00043943">
        <w:t>3</w:t>
      </w:r>
      <w:r>
        <w:t xml:space="preserve">, if the MN had already configured the UE with 30 MHz for n1 and 80 MHz for n78, without inter-node coordination, the SN might attempt to configure the UE with 40 MHz in n3, which would exceed its </w:t>
      </w:r>
      <w:proofErr w:type="spellStart"/>
      <w:r w:rsidRPr="00923189">
        <w:rPr>
          <w:i/>
          <w:iCs/>
        </w:rPr>
        <w:t>supportedAggBW</w:t>
      </w:r>
      <w:proofErr w:type="spellEnd"/>
      <w:r w:rsidRPr="00923189">
        <w:rPr>
          <w:i/>
          <w:iCs/>
        </w:rPr>
        <w:t>-FDD-DL</w:t>
      </w:r>
      <w:r>
        <w:rPr>
          <w:i/>
          <w:iCs/>
        </w:rPr>
        <w:t>/UL</w:t>
      </w:r>
      <w:r>
        <w:t xml:space="preserve"> capabilities of 60 MHz as well as its </w:t>
      </w:r>
      <w:proofErr w:type="spellStart"/>
      <w:r w:rsidRPr="00923189">
        <w:rPr>
          <w:i/>
          <w:iCs/>
        </w:rPr>
        <w:t>supportedAggBW</w:t>
      </w:r>
      <w:proofErr w:type="spellEnd"/>
      <w:r w:rsidRPr="00923189">
        <w:rPr>
          <w:i/>
          <w:iCs/>
        </w:rPr>
        <w:t>-Total-DL/UL</w:t>
      </w:r>
      <w:r>
        <w:t xml:space="preserve"> capabilities of 140 </w:t>
      </w:r>
      <w:proofErr w:type="spellStart"/>
      <w:r>
        <w:t>MHz.</w:t>
      </w:r>
      <w:proofErr w:type="spellEnd"/>
    </w:p>
    <w:p w14:paraId="6AEFAAB2" w14:textId="4A3777C2" w:rsidR="00560C82" w:rsidRPr="00651BE9" w:rsidRDefault="007226D4" w:rsidP="00560C82">
      <w:pPr>
        <w:spacing w:before="120"/>
        <w:rPr>
          <w:b/>
          <w:bCs/>
        </w:rPr>
      </w:pPr>
      <w:r>
        <w:rPr>
          <w:b/>
          <w:bCs/>
        </w:rPr>
        <w:t>Observation 1</w:t>
      </w:r>
      <w:r w:rsidRPr="005F3113">
        <w:t>: Without</w:t>
      </w:r>
      <w:r w:rsidR="00F973A2">
        <w:t xml:space="preserve"> the MN</w:t>
      </w:r>
      <w:r w:rsidRPr="005F3113">
        <w:t xml:space="preserve"> indi</w:t>
      </w:r>
      <w:r w:rsidR="004B2C10" w:rsidRPr="005F3113">
        <w:t xml:space="preserve">cating to the SN the allowed </w:t>
      </w:r>
      <w:r w:rsidR="006C42CE" w:rsidRPr="005F3113">
        <w:t>BW at the SN side (or the reserved BW at the MN side)</w:t>
      </w:r>
      <w:r w:rsidR="00DE681F" w:rsidRPr="005F3113">
        <w:t xml:space="preserve">, the SN </w:t>
      </w:r>
      <w:r w:rsidR="005F3113">
        <w:t>might</w:t>
      </w:r>
      <w:r w:rsidR="00DE681F" w:rsidRPr="005F3113">
        <w:t xml:space="preserve"> attempt to provide a</w:t>
      </w:r>
      <w:r w:rsidR="006F5637">
        <w:t>n invalid</w:t>
      </w:r>
      <w:r w:rsidR="00DE681F" w:rsidRPr="005F3113">
        <w:t xml:space="preserve"> configuration </w:t>
      </w:r>
      <w:r w:rsidR="006F5637">
        <w:t>for</w:t>
      </w:r>
      <w:r w:rsidR="00DE681F" w:rsidRPr="005F3113">
        <w:t xml:space="preserve"> </w:t>
      </w:r>
      <w:r w:rsidR="006F5637">
        <w:t>a</w:t>
      </w:r>
      <w:r w:rsidR="00DE681F" w:rsidRPr="005F3113">
        <w:t xml:space="preserve"> BCS5 NR-DC </w:t>
      </w:r>
      <w:r w:rsidR="006F5637">
        <w:t xml:space="preserve">BC </w:t>
      </w:r>
      <w:r w:rsidR="00DE681F" w:rsidRPr="005F3113">
        <w:t xml:space="preserve">that exceeds the UE </w:t>
      </w:r>
      <w:r w:rsidR="005F3113" w:rsidRPr="005F3113">
        <w:rPr>
          <w:i/>
          <w:iCs/>
        </w:rPr>
        <w:t xml:space="preserve">supportedAggBW-FR1-r17 </w:t>
      </w:r>
      <w:r w:rsidR="00DE681F" w:rsidRPr="005F3113">
        <w:t>capabilities.</w:t>
      </w:r>
    </w:p>
    <w:p w14:paraId="61866228" w14:textId="12665565" w:rsidR="00BE2034" w:rsidRDefault="00C37DD0" w:rsidP="009339CB">
      <w:r>
        <w:t xml:space="preserve">In our view, two possible </w:t>
      </w:r>
      <w:r w:rsidR="003445EE">
        <w:t>techniques could be considered for the BW coordination between the MN and SN</w:t>
      </w:r>
      <w:r w:rsidR="00737565">
        <w:t xml:space="preserve">, one based on signalling a </w:t>
      </w:r>
      <w:r w:rsidR="00737565" w:rsidRPr="00737565">
        <w:rPr>
          <w:i/>
          <w:iCs/>
        </w:rPr>
        <w:t>BW allowance to the SN</w:t>
      </w:r>
      <w:r w:rsidR="00737565">
        <w:t xml:space="preserve"> </w:t>
      </w:r>
      <w:r w:rsidR="00100695">
        <w:t xml:space="preserve">(Option 1) </w:t>
      </w:r>
      <w:r w:rsidR="00737565">
        <w:t xml:space="preserve">and another based on signalling the </w:t>
      </w:r>
      <w:r w:rsidR="00737565">
        <w:rPr>
          <w:i/>
          <w:iCs/>
        </w:rPr>
        <w:t>BW reserved by the</w:t>
      </w:r>
      <w:r w:rsidR="00737565" w:rsidRPr="00BE2034">
        <w:rPr>
          <w:i/>
          <w:iCs/>
        </w:rPr>
        <w:t xml:space="preserve"> MN</w:t>
      </w:r>
      <w:r w:rsidR="00100695">
        <w:t xml:space="preserve"> (Option 2).</w:t>
      </w:r>
      <w:r w:rsidR="00AC5A28">
        <w:t xml:space="preserve"> We now detail these options further.</w:t>
      </w:r>
    </w:p>
    <w:p w14:paraId="14B147F8" w14:textId="4E3CEA05" w:rsidR="00E05286" w:rsidRDefault="00BE2034" w:rsidP="009339CB">
      <w:r w:rsidRPr="00E05286">
        <w:rPr>
          <w:u w:val="single"/>
        </w:rPr>
        <w:t>Option 1</w:t>
      </w:r>
      <w:r>
        <w:t>:</w:t>
      </w:r>
      <w:r w:rsidR="00100695">
        <w:t xml:space="preserve"> </w:t>
      </w:r>
      <w:r w:rsidR="004A4452">
        <w:t>T</w:t>
      </w:r>
      <w:r w:rsidR="004A4452" w:rsidRPr="004A4452">
        <w:t xml:space="preserve">he MN </w:t>
      </w:r>
      <w:r w:rsidR="002F37D4">
        <w:t xml:space="preserve">can </w:t>
      </w:r>
      <w:r w:rsidR="004A4452" w:rsidRPr="004A4452">
        <w:t xml:space="preserve">indicate to the SN, in an inter-node RRC message, the allowed FDD BW, allowed TDD BW, and allowed total BW that can be configured, for </w:t>
      </w:r>
      <w:r w:rsidR="004A4452">
        <w:t>every</w:t>
      </w:r>
      <w:r w:rsidR="004A4452" w:rsidRPr="004A4452">
        <w:t xml:space="preserve"> band combination indicated to the SN in </w:t>
      </w:r>
      <w:r w:rsidR="004A4452" w:rsidRPr="004A4452">
        <w:rPr>
          <w:i/>
          <w:iCs/>
        </w:rPr>
        <w:t>CG-</w:t>
      </w:r>
      <w:proofErr w:type="spellStart"/>
      <w:r w:rsidR="004A4452" w:rsidRPr="004A4452">
        <w:rPr>
          <w:i/>
          <w:iCs/>
        </w:rPr>
        <w:t>ConfigInfo</w:t>
      </w:r>
      <w:proofErr w:type="spellEnd"/>
      <w:r w:rsidR="004A4452" w:rsidRPr="004A4452">
        <w:t xml:space="preserve"> &gt; </w:t>
      </w:r>
      <w:proofErr w:type="spellStart"/>
      <w:r w:rsidR="004A4452" w:rsidRPr="004A4452">
        <w:rPr>
          <w:i/>
          <w:iCs/>
        </w:rPr>
        <w:t>configRestrictInfoSCG</w:t>
      </w:r>
      <w:proofErr w:type="spellEnd"/>
      <w:r w:rsidR="004A4452" w:rsidRPr="004A4452">
        <w:t xml:space="preserve"> &gt; </w:t>
      </w:r>
      <w:proofErr w:type="spellStart"/>
      <w:r w:rsidR="004A4452" w:rsidRPr="004A4452">
        <w:rPr>
          <w:i/>
          <w:iCs/>
        </w:rPr>
        <w:t>allowedBC-ListMRDC</w:t>
      </w:r>
      <w:proofErr w:type="spellEnd"/>
      <w:r w:rsidR="004A4452" w:rsidRPr="004A4452">
        <w:t xml:space="preserve">. Based on the indicated BW limitations, the SN can explicitly know the allowable BW configuration for the NR-DC UE for every allowable NR-DC BC </w:t>
      </w:r>
      <w:r w:rsidR="00573240">
        <w:t xml:space="preserve">when determining the secondary cell group </w:t>
      </w:r>
      <w:r w:rsidR="002669EA">
        <w:t xml:space="preserve">(SCG) </w:t>
      </w:r>
      <w:r w:rsidR="00573240">
        <w:t>configuration.</w:t>
      </w:r>
      <w:r w:rsidR="00A66503">
        <w:t xml:space="preserve"> </w:t>
      </w:r>
      <w:r w:rsidR="00913E39">
        <w:t xml:space="preserve">When replying with the SCG configuration </w:t>
      </w:r>
      <w:r w:rsidR="002F37D4">
        <w:t xml:space="preserve">in the </w:t>
      </w:r>
      <w:r w:rsidR="002F37D4">
        <w:rPr>
          <w:i/>
          <w:iCs/>
        </w:rPr>
        <w:t xml:space="preserve">CG-Config </w:t>
      </w:r>
      <w:r w:rsidR="002F37D4">
        <w:t xml:space="preserve">message, the SN </w:t>
      </w:r>
      <w:r w:rsidR="002D7860">
        <w:t>sh</w:t>
      </w:r>
      <w:r w:rsidR="002F37D4">
        <w:t xml:space="preserve">ould also </w:t>
      </w:r>
      <w:r w:rsidR="002D7860">
        <w:t xml:space="preserve">explicitly </w:t>
      </w:r>
      <w:r w:rsidR="002F37D4">
        <w:t xml:space="preserve">indicate to </w:t>
      </w:r>
      <w:r w:rsidR="00913E39">
        <w:t>the MN</w:t>
      </w:r>
      <w:r w:rsidR="001A3013">
        <w:t xml:space="preserve"> </w:t>
      </w:r>
      <w:r w:rsidR="005C01F4">
        <w:t>the aggregate</w:t>
      </w:r>
      <w:r w:rsidR="001A3013">
        <w:t xml:space="preserve"> FDD and TDD BWs</w:t>
      </w:r>
      <w:r w:rsidR="005C01F4">
        <w:t xml:space="preserve"> that</w:t>
      </w:r>
      <w:r w:rsidR="001A3013">
        <w:t xml:space="preserve"> have been configured </w:t>
      </w:r>
      <w:r w:rsidR="005C01F4">
        <w:t xml:space="preserve">in the SCG, so the MN can </w:t>
      </w:r>
      <w:r w:rsidR="00870FDD">
        <w:t>know if</w:t>
      </w:r>
      <w:r w:rsidR="004A631B">
        <w:t xml:space="preserve"> there is any remaining BW </w:t>
      </w:r>
      <w:r w:rsidR="00870FDD">
        <w:t xml:space="preserve">available </w:t>
      </w:r>
      <w:r w:rsidR="004A631B">
        <w:t xml:space="preserve">in case </w:t>
      </w:r>
      <w:r w:rsidR="004F350B">
        <w:t>the unused BW</w:t>
      </w:r>
      <w:r w:rsidR="004A631B">
        <w:t xml:space="preserve"> can be </w:t>
      </w:r>
      <w:r w:rsidR="00790EB4">
        <w:t>(</w:t>
      </w:r>
      <w:r w:rsidR="004A631B">
        <w:t>re</w:t>
      </w:r>
      <w:r w:rsidR="00790EB4">
        <w:t>)</w:t>
      </w:r>
      <w:r w:rsidR="004A631B">
        <w:t>configured</w:t>
      </w:r>
      <w:r w:rsidR="00790EB4">
        <w:t xml:space="preserve"> by the MN</w:t>
      </w:r>
      <w:r w:rsidR="004A631B">
        <w:t xml:space="preserve"> </w:t>
      </w:r>
      <w:r w:rsidR="004F350B">
        <w:t>for</w:t>
      </w:r>
      <w:r w:rsidR="004A631B">
        <w:t xml:space="preserve"> the </w:t>
      </w:r>
      <w:r w:rsidR="002D187E" w:rsidRPr="006C59B2">
        <w:t>master cell group (MCG)</w:t>
      </w:r>
      <w:r w:rsidR="004A631B">
        <w:t>.</w:t>
      </w:r>
    </w:p>
    <w:p w14:paraId="3628118C" w14:textId="35AFCEC9" w:rsidR="00E05286" w:rsidRDefault="00E05286" w:rsidP="009339CB">
      <w:r w:rsidRPr="00E05286">
        <w:rPr>
          <w:u w:val="single"/>
        </w:rPr>
        <w:t>Option 2</w:t>
      </w:r>
      <w:r>
        <w:t xml:space="preserve">: </w:t>
      </w:r>
      <w:r w:rsidR="006C59B2">
        <w:t>T</w:t>
      </w:r>
      <w:r w:rsidR="006C59B2" w:rsidRPr="006C59B2">
        <w:t xml:space="preserve">he MN </w:t>
      </w:r>
      <w:r w:rsidR="002F37D4">
        <w:t>can indicate</w:t>
      </w:r>
      <w:r w:rsidR="006C59B2" w:rsidRPr="006C59B2">
        <w:t xml:space="preserve"> to the SN in </w:t>
      </w:r>
      <w:r w:rsidR="006C59B2">
        <w:t>a single</w:t>
      </w:r>
      <w:r w:rsidR="006C59B2" w:rsidRPr="006C59B2">
        <w:t xml:space="preserve"> indication in an inter-node RRC message, the currently reserved aggregated FDD BW and reserved aggregated TDD BW for the MCG</w:t>
      </w:r>
      <w:r w:rsidR="002D187E">
        <w:t xml:space="preserve"> </w:t>
      </w:r>
      <w:r w:rsidR="006C59B2" w:rsidRPr="006C59B2">
        <w:t>configured by the MN</w:t>
      </w:r>
      <w:r w:rsidR="006C59B2">
        <w:t xml:space="preserve"> (</w:t>
      </w:r>
      <w:r w:rsidR="006C59B2" w:rsidRPr="006C59B2">
        <w:t>the reserved BW could be a static/fixed reservation, or it could be dynamic, e.g. based on the currently occupied/in-use BW</w:t>
      </w:r>
      <w:r w:rsidR="006C59B2">
        <w:t xml:space="preserve"> at the MCG</w:t>
      </w:r>
      <w:r w:rsidR="006C59B2" w:rsidRPr="006C59B2">
        <w:t xml:space="preserve">.) Then, comparing the reserved BW at the MN to the UE capabilities </w:t>
      </w:r>
      <w:r w:rsidR="00725D4B">
        <w:t>the SN receives in</w:t>
      </w:r>
      <w:r w:rsidR="006C59B2" w:rsidRPr="006C59B2">
        <w:t xml:space="preserve"> </w:t>
      </w:r>
      <w:r w:rsidR="006C59B2" w:rsidRPr="00725D4B">
        <w:rPr>
          <w:i/>
          <w:iCs/>
        </w:rPr>
        <w:t>supportedAggBW-FR1-r17</w:t>
      </w:r>
      <w:r w:rsidR="006C59B2" w:rsidRPr="006C59B2">
        <w:t xml:space="preserve"> the SN can determine up to which BW can be configured for the UE for a particular </w:t>
      </w:r>
      <w:r w:rsidR="00725D4B">
        <w:t xml:space="preserve">BCS5 </w:t>
      </w:r>
      <w:r w:rsidR="006C59B2" w:rsidRPr="006C59B2">
        <w:t xml:space="preserve">NR-DC BC and </w:t>
      </w:r>
      <w:r w:rsidR="00573240">
        <w:t xml:space="preserve">secondary </w:t>
      </w:r>
      <w:r w:rsidR="006C59B2" w:rsidRPr="006C59B2">
        <w:t>cell group</w:t>
      </w:r>
      <w:r w:rsidR="00725D4B">
        <w:t>.</w:t>
      </w:r>
      <w:r w:rsidR="00AA27D5">
        <w:t xml:space="preserve"> As in Option 1, when replying to the MN, </w:t>
      </w:r>
      <w:r w:rsidR="00AA27D5" w:rsidRPr="00AA27D5">
        <w:t xml:space="preserve">the SN should </w:t>
      </w:r>
      <w:r w:rsidR="00AA27D5">
        <w:t xml:space="preserve">indicate what </w:t>
      </w:r>
      <w:r w:rsidR="00AA27D5" w:rsidRPr="00AA27D5">
        <w:t xml:space="preserve">BWs have been configured in the SCG in case </w:t>
      </w:r>
      <w:r w:rsidR="0070531F">
        <w:t xml:space="preserve">any </w:t>
      </w:r>
      <w:r w:rsidR="00B501F6">
        <w:t xml:space="preserve">unused </w:t>
      </w:r>
      <w:r w:rsidR="0070531F">
        <w:t xml:space="preserve">BW </w:t>
      </w:r>
      <w:r w:rsidR="00B501F6">
        <w:t>can</w:t>
      </w:r>
      <w:r w:rsidR="0070531F">
        <w:t xml:space="preserve"> be (</w:t>
      </w:r>
      <w:r w:rsidR="00AA27D5" w:rsidRPr="00AA27D5">
        <w:t>re</w:t>
      </w:r>
      <w:r w:rsidR="0070531F">
        <w:t>)</w:t>
      </w:r>
      <w:r w:rsidR="00AA27D5" w:rsidRPr="00AA27D5">
        <w:t>configured in the MCG.</w:t>
      </w:r>
    </w:p>
    <w:p w14:paraId="056B4D2B" w14:textId="2928FA11" w:rsidR="00D11755" w:rsidRDefault="00D11755" w:rsidP="009339CB">
      <w:r w:rsidRPr="00D11755">
        <w:t xml:space="preserve">The main difference between </w:t>
      </w:r>
      <w:r w:rsidR="004B64C2">
        <w:t xml:space="preserve">these options is </w:t>
      </w:r>
      <w:r w:rsidRPr="00D11755">
        <w:t xml:space="preserve">that in </w:t>
      </w:r>
      <w:r w:rsidR="004B64C2">
        <w:t>Option 1</w:t>
      </w:r>
      <w:r w:rsidRPr="00D11755">
        <w:t xml:space="preserve">, the MN needs to provide the allowed BW limitations for each BC indicated in </w:t>
      </w:r>
      <w:proofErr w:type="spellStart"/>
      <w:r w:rsidRPr="004B64C2">
        <w:rPr>
          <w:i/>
          <w:iCs/>
        </w:rPr>
        <w:t>allowedBC-ListMRDC</w:t>
      </w:r>
      <w:proofErr w:type="spellEnd"/>
      <w:r w:rsidRPr="00D11755">
        <w:t xml:space="preserve">, while in </w:t>
      </w:r>
      <w:r w:rsidR="004B64C2">
        <w:t>Option 2</w:t>
      </w:r>
      <w:r w:rsidRPr="00D11755">
        <w:t xml:space="preserve"> there is just </w:t>
      </w:r>
      <w:r w:rsidR="00F46F70">
        <w:t>one</w:t>
      </w:r>
      <w:r w:rsidRPr="00D11755">
        <w:t xml:space="preserve"> indication of the reserved BW at the MN</w:t>
      </w:r>
      <w:r w:rsidR="00F46F70">
        <w:t xml:space="preserve"> (regardless</w:t>
      </w:r>
      <w:r w:rsidR="007C7B62">
        <w:t xml:space="preserve"> of the</w:t>
      </w:r>
      <w:r w:rsidR="00F46F70">
        <w:t xml:space="preserve"> BCs signalled in</w:t>
      </w:r>
      <w:r w:rsidR="007C7B62">
        <w:t xml:space="preserve"> </w:t>
      </w:r>
      <w:proofErr w:type="spellStart"/>
      <w:r w:rsidR="007C7B62">
        <w:rPr>
          <w:i/>
          <w:iCs/>
        </w:rPr>
        <w:t>allowedBC-ListMRDC</w:t>
      </w:r>
      <w:proofErr w:type="spellEnd"/>
      <w:r w:rsidR="00F46F70">
        <w:t>),</w:t>
      </w:r>
      <w:r w:rsidR="007C7B62">
        <w:t xml:space="preserve"> </w:t>
      </w:r>
      <w:r w:rsidRPr="00D11755">
        <w:t xml:space="preserve">which the SN needs to compare against the UE’s maximum aggregated BW capabilities that are signalled in </w:t>
      </w:r>
      <w:r w:rsidRPr="00032B1E">
        <w:rPr>
          <w:i/>
          <w:iCs/>
        </w:rPr>
        <w:t>supportedAggBW-FR1-r17</w:t>
      </w:r>
      <w:r w:rsidRPr="00D11755">
        <w:t>.</w:t>
      </w:r>
    </w:p>
    <w:p w14:paraId="33A183E0" w14:textId="7F3E3095" w:rsidR="00BB3C3E" w:rsidRDefault="00BB3C3E" w:rsidP="009339CB">
      <w:r w:rsidRPr="0015461F">
        <w:rPr>
          <w:b/>
          <w:bCs/>
        </w:rPr>
        <w:t>Observation 2</w:t>
      </w:r>
      <w:r>
        <w:t>:</w:t>
      </w:r>
      <w:r w:rsidR="00651D6F">
        <w:t xml:space="preserve"> Inter-node signalling </w:t>
      </w:r>
      <w:r w:rsidR="002B418B">
        <w:t xml:space="preserve">for coordinating maximum aggregated bandwidth capabilities between MN and SN can be based on </w:t>
      </w:r>
      <w:r w:rsidR="00EB56F8">
        <w:t>signalling a per-BC</w:t>
      </w:r>
      <w:r w:rsidR="005411C2">
        <w:t xml:space="preserve"> BW</w:t>
      </w:r>
      <w:r w:rsidR="00EB56F8">
        <w:t xml:space="preserve"> allowance </w:t>
      </w:r>
      <w:r w:rsidR="007313D8">
        <w:t>to</w:t>
      </w:r>
      <w:r w:rsidR="00EB56F8">
        <w:t xml:space="preserve"> the SN (Option 1) or based on </w:t>
      </w:r>
      <w:r w:rsidR="007313D8">
        <w:t>signalling the MN</w:t>
      </w:r>
      <w:r w:rsidR="002B52B9">
        <w:t>-</w:t>
      </w:r>
      <w:r w:rsidR="007313D8">
        <w:t xml:space="preserve">reserved </w:t>
      </w:r>
      <w:r w:rsidR="005411C2">
        <w:t xml:space="preserve">BW </w:t>
      </w:r>
      <w:r w:rsidR="007313D8">
        <w:t>to the SN</w:t>
      </w:r>
      <w:r w:rsidR="002B52B9">
        <w:t xml:space="preserve"> independent of the allowed BCs</w:t>
      </w:r>
      <w:r w:rsidR="007313D8">
        <w:t xml:space="preserve"> (Option 2).</w:t>
      </w:r>
    </w:p>
    <w:p w14:paraId="175CEE1E" w14:textId="720EED22" w:rsidR="009339CB" w:rsidRPr="00767383" w:rsidRDefault="009339CB" w:rsidP="009339CB">
      <w:r w:rsidRPr="00767383">
        <w:rPr>
          <w:b/>
        </w:rPr>
        <w:t>Proposal 1</w:t>
      </w:r>
      <w:r w:rsidRPr="00767383">
        <w:rPr>
          <w:bCs/>
        </w:rPr>
        <w:t>:</w:t>
      </w:r>
      <w:r w:rsidRPr="00767383">
        <w:t xml:space="preserve"> </w:t>
      </w:r>
      <w:r w:rsidR="0070531F">
        <w:t xml:space="preserve">RAN2 </w:t>
      </w:r>
      <w:r w:rsidR="00626622">
        <w:t>should d</w:t>
      </w:r>
      <w:r w:rsidR="00EE619E">
        <w:t>ecide</w:t>
      </w:r>
      <w:r w:rsidR="00626622">
        <w:t xml:space="preserve"> between Option 1 and Option 2 </w:t>
      </w:r>
      <w:r w:rsidR="002064EA">
        <w:t xml:space="preserve">when specifying </w:t>
      </w:r>
      <w:r w:rsidR="002052AF">
        <w:t xml:space="preserve">the inter-node </w:t>
      </w:r>
      <w:r w:rsidR="002064EA">
        <w:t xml:space="preserve">signalling required to support </w:t>
      </w:r>
      <w:r w:rsidR="002052AF">
        <w:t>maximum aggregate bandwidth</w:t>
      </w:r>
      <w:r w:rsidR="002064EA">
        <w:t xml:space="preserve"> coordination for BCS5 NR-DC band combinations</w:t>
      </w:r>
      <w:r w:rsidRPr="00767383">
        <w:t>.</w:t>
      </w:r>
    </w:p>
    <w:p w14:paraId="6327A5E6" w14:textId="4EEED2CC" w:rsidR="009339CB" w:rsidRPr="00767383" w:rsidRDefault="009339CB" w:rsidP="009339CB">
      <w:pPr>
        <w:pStyle w:val="Heading2"/>
      </w:pPr>
      <w:r w:rsidRPr="00767383">
        <w:t>2.2</w:t>
      </w:r>
      <w:r w:rsidRPr="00767383">
        <w:tab/>
      </w:r>
      <w:r w:rsidR="00394770">
        <w:t>Secondary node re</w:t>
      </w:r>
      <w:r w:rsidR="000C6A5F">
        <w:t>quest for additional bandwidth</w:t>
      </w:r>
    </w:p>
    <w:p w14:paraId="2819724B" w14:textId="5A64CAE6" w:rsidR="00F41159" w:rsidRDefault="000C6A5F" w:rsidP="009339CB">
      <w:r>
        <w:t xml:space="preserve">Inter-node </w:t>
      </w:r>
      <w:r w:rsidR="004D640C">
        <w:t>MR-DC</w:t>
      </w:r>
      <w:r>
        <w:t xml:space="preserve"> signalling</w:t>
      </w:r>
      <w:r w:rsidR="004D640C">
        <w:t xml:space="preserve"> also</w:t>
      </w:r>
      <w:r>
        <w:t xml:space="preserve"> supports </w:t>
      </w:r>
      <w:r w:rsidR="00A14D16">
        <w:t xml:space="preserve">the </w:t>
      </w:r>
      <w:r w:rsidR="004D640C">
        <w:t xml:space="preserve">SN initiating a request for </w:t>
      </w:r>
      <w:r w:rsidR="00D74FF8">
        <w:t>new/additional</w:t>
      </w:r>
      <w:r w:rsidR="004D640C">
        <w:t xml:space="preserve"> resources from the MN, for </w:t>
      </w:r>
      <w:r w:rsidR="004D640C" w:rsidRPr="000520FF">
        <w:t>example</w:t>
      </w:r>
      <w:r w:rsidR="006D516B">
        <w:t xml:space="preserve"> a request to</w:t>
      </w:r>
      <w:r w:rsidR="004D640C" w:rsidRPr="000520FF">
        <w:t xml:space="preserve"> </w:t>
      </w:r>
      <w:r w:rsidR="00D74FF8">
        <w:t>modify the band combination, the allowed maximum power</w:t>
      </w:r>
      <w:r w:rsidR="000520FF">
        <w:t>, or maximum CSI-RS resources</w:t>
      </w:r>
      <w:r w:rsidR="004D640C">
        <w:t xml:space="preserve">. </w:t>
      </w:r>
    </w:p>
    <w:p w14:paraId="031460D2" w14:textId="2C400C6F" w:rsidR="009339CB" w:rsidRPr="00767383" w:rsidRDefault="004D640C" w:rsidP="009339CB">
      <w:r>
        <w:t xml:space="preserve">One other aspect that could be considered to better support </w:t>
      </w:r>
      <w:r w:rsidR="008B5DA0">
        <w:t>inter-node coordination for</w:t>
      </w:r>
      <w:r w:rsidR="00956739">
        <w:t xml:space="preserve"> BCS5</w:t>
      </w:r>
      <w:r w:rsidR="008B5DA0">
        <w:t xml:space="preserve"> NR-DC</w:t>
      </w:r>
      <w:r w:rsidR="006F17AA">
        <w:t xml:space="preserve"> is allowing the SN to request </w:t>
      </w:r>
      <w:r w:rsidR="00575C80">
        <w:t>a modification to</w:t>
      </w:r>
      <w:r w:rsidR="006F17AA">
        <w:t xml:space="preserve"> BCS5 bandwidth </w:t>
      </w:r>
      <w:r w:rsidR="00077199">
        <w:t>allowance</w:t>
      </w:r>
      <w:r w:rsidR="006F17AA">
        <w:t xml:space="preserve"> (FDD, TDD, or total BW) from the </w:t>
      </w:r>
      <w:r w:rsidR="00575C80">
        <w:t>MN</w:t>
      </w:r>
      <w:r w:rsidR="00077199">
        <w:t xml:space="preserve"> for a specific band combination or band</w:t>
      </w:r>
      <w:r w:rsidR="00575C80">
        <w:t xml:space="preserve">. </w:t>
      </w:r>
      <w:r w:rsidR="00F41159">
        <w:t>This could be useful</w:t>
      </w:r>
      <w:r w:rsidR="00575C80">
        <w:t xml:space="preserve"> </w:t>
      </w:r>
      <w:r w:rsidR="00F41159">
        <w:t xml:space="preserve">for example </w:t>
      </w:r>
      <w:r w:rsidR="008D2F5B">
        <w:t xml:space="preserve">if the resource availability of </w:t>
      </w:r>
      <w:r w:rsidR="00B03CB7">
        <w:t xml:space="preserve">specific bands at the SN </w:t>
      </w:r>
      <w:r w:rsidR="00C73937">
        <w:t>increase or decrease</w:t>
      </w:r>
      <w:r w:rsidR="00F41159">
        <w:t>.</w:t>
      </w:r>
    </w:p>
    <w:p w14:paraId="3FD2F9DB" w14:textId="0DF45ACB" w:rsidR="009339CB" w:rsidRDefault="009339CB" w:rsidP="009339CB">
      <w:r w:rsidRPr="00767383">
        <w:rPr>
          <w:b/>
        </w:rPr>
        <w:t xml:space="preserve">Observation </w:t>
      </w:r>
      <w:r w:rsidR="00C121AF">
        <w:rPr>
          <w:b/>
        </w:rPr>
        <w:t>3</w:t>
      </w:r>
      <w:r w:rsidRPr="00767383">
        <w:rPr>
          <w:bCs/>
        </w:rPr>
        <w:t>:</w:t>
      </w:r>
      <w:r w:rsidRPr="00767383">
        <w:t xml:space="preserve"> </w:t>
      </w:r>
      <w:r w:rsidR="00340E63">
        <w:t xml:space="preserve">Allowing the SN to request the MN to modify </w:t>
      </w:r>
      <w:r w:rsidR="00C70316">
        <w:t>the</w:t>
      </w:r>
      <w:r w:rsidR="00340E63">
        <w:t xml:space="preserve"> BCS5 bandwidth </w:t>
      </w:r>
      <w:r w:rsidR="00C70316">
        <w:t>allowance at the SN side would provide better flexibility to support BCS5 NR-DC band combinations</w:t>
      </w:r>
      <w:r w:rsidRPr="00767383">
        <w:t>.</w:t>
      </w:r>
    </w:p>
    <w:p w14:paraId="313EB2E2" w14:textId="6E85C7C0" w:rsidR="00F47E24" w:rsidRPr="00767383" w:rsidRDefault="00F47E24" w:rsidP="009339CB">
      <w:r>
        <w:lastRenderedPageBreak/>
        <w:t>In our view</w:t>
      </w:r>
      <w:r w:rsidR="000D7E0E">
        <w:t xml:space="preserve">, </w:t>
      </w:r>
      <w:r>
        <w:t xml:space="preserve">this can be supported </w:t>
      </w:r>
      <w:r w:rsidR="0074164D">
        <w:t>using</w:t>
      </w:r>
      <w:r>
        <w:t xml:space="preserve"> the </w:t>
      </w:r>
      <w:r w:rsidR="00F81952">
        <w:t>existing framework used by the SN to request a modificati</w:t>
      </w:r>
      <w:r w:rsidR="00F81952" w:rsidRPr="003260F4">
        <w:t xml:space="preserve">on to </w:t>
      </w:r>
      <w:r w:rsidR="003260F4" w:rsidRPr="003260F4">
        <w:t>SCG</w:t>
      </w:r>
      <w:r w:rsidR="00135A35" w:rsidRPr="003260F4">
        <w:t xml:space="preserve"> resources</w:t>
      </w:r>
      <w:r w:rsidR="00A77DC6">
        <w:t xml:space="preserve">, i.e. </w:t>
      </w:r>
      <w:r w:rsidR="003260F4">
        <w:t>by sending</w:t>
      </w:r>
      <w:r w:rsidR="00A77DC6">
        <w:t xml:space="preserve"> </w:t>
      </w:r>
      <w:proofErr w:type="spellStart"/>
      <w:r w:rsidR="00A77DC6">
        <w:t>XnAP</w:t>
      </w:r>
      <w:proofErr w:type="spellEnd"/>
      <w:r w:rsidR="00A77DC6">
        <w:t xml:space="preserve"> S-NODE MODIFICATION REQUIRED with </w:t>
      </w:r>
      <w:proofErr w:type="spellStart"/>
      <w:r w:rsidR="0053379D" w:rsidRPr="000D7E0E">
        <w:rPr>
          <w:i/>
          <w:iCs/>
        </w:rPr>
        <w:t>configRestrictModReq</w:t>
      </w:r>
      <w:proofErr w:type="spellEnd"/>
      <w:r w:rsidR="0053379D">
        <w:t xml:space="preserve"> </w:t>
      </w:r>
      <w:r w:rsidR="0074164D">
        <w:t xml:space="preserve">included in the RRC </w:t>
      </w:r>
      <w:r w:rsidR="00A77DC6" w:rsidRPr="000D7E0E">
        <w:rPr>
          <w:i/>
          <w:iCs/>
        </w:rPr>
        <w:t>CG-Config</w:t>
      </w:r>
      <w:r w:rsidR="0074164D">
        <w:t xml:space="preserve"> container. A request for modification to the </w:t>
      </w:r>
      <w:r w:rsidR="009860E6">
        <w:t xml:space="preserve">BCS5 bandwidth allowance for the SCG could be </w:t>
      </w:r>
      <w:r w:rsidR="00000A3E">
        <w:t xml:space="preserve">for a </w:t>
      </w:r>
      <w:r w:rsidR="00957BDE">
        <w:t>particular</w:t>
      </w:r>
      <w:r w:rsidR="00F8286C">
        <w:t xml:space="preserve"> band combination or </w:t>
      </w:r>
      <w:r w:rsidR="00471D94">
        <w:t>restricted to specific band(s).</w:t>
      </w:r>
    </w:p>
    <w:p w14:paraId="1BC82ECA" w14:textId="3B9FC72B" w:rsidR="009339CB" w:rsidRPr="00767383" w:rsidRDefault="009339CB" w:rsidP="009339CB">
      <w:r w:rsidRPr="00767383">
        <w:rPr>
          <w:b/>
        </w:rPr>
        <w:t>Proposal 2</w:t>
      </w:r>
      <w:r w:rsidRPr="00767383">
        <w:rPr>
          <w:bCs/>
        </w:rPr>
        <w:t>:</w:t>
      </w:r>
      <w:r w:rsidRPr="00767383">
        <w:t xml:space="preserve"> </w:t>
      </w:r>
      <w:r w:rsidR="00455BB3">
        <w:t xml:space="preserve">SN should be able to request </w:t>
      </w:r>
      <w:r w:rsidR="00894985">
        <w:t>the MN to</w:t>
      </w:r>
      <w:r w:rsidR="00455BB3">
        <w:t xml:space="preserve"> modif</w:t>
      </w:r>
      <w:r w:rsidR="00894985">
        <w:t>y</w:t>
      </w:r>
      <w:r w:rsidR="00455BB3">
        <w:t xml:space="preserve"> the </w:t>
      </w:r>
      <w:r w:rsidR="00894985">
        <w:t xml:space="preserve">BCS5 </w:t>
      </w:r>
      <w:r w:rsidR="000430D8">
        <w:t xml:space="preserve">(FDD, TDD, and/or total) </w:t>
      </w:r>
      <w:r w:rsidR="00894985">
        <w:t xml:space="preserve">bandwidth allowance for a given </w:t>
      </w:r>
      <w:r w:rsidR="000430D8">
        <w:t xml:space="preserve">band combination or band </w:t>
      </w:r>
      <w:r w:rsidR="00894985">
        <w:t>at the SN side</w:t>
      </w:r>
      <w:r w:rsidR="00B57449">
        <w:t xml:space="preserve">, e.g. using </w:t>
      </w:r>
      <w:r w:rsidR="00C121AF">
        <w:rPr>
          <w:i/>
          <w:iCs/>
        </w:rPr>
        <w:t xml:space="preserve">CG-Config </w:t>
      </w:r>
      <w:r w:rsidR="00C121AF">
        <w:t>&gt;</w:t>
      </w:r>
      <w:r w:rsidR="00B57449">
        <w:t xml:space="preserve"> </w:t>
      </w:r>
      <w:proofErr w:type="spellStart"/>
      <w:r w:rsidR="00B57449">
        <w:rPr>
          <w:i/>
          <w:iCs/>
        </w:rPr>
        <w:t>configRes</w:t>
      </w:r>
      <w:r w:rsidR="00C121AF">
        <w:rPr>
          <w:i/>
          <w:iCs/>
        </w:rPr>
        <w:t>trictModReq</w:t>
      </w:r>
      <w:proofErr w:type="spellEnd"/>
      <w:r w:rsidRPr="00767383">
        <w:t>.</w:t>
      </w:r>
    </w:p>
    <w:p w14:paraId="69B7B8E6" w14:textId="69E07FC9" w:rsidR="009339CB" w:rsidRPr="00767383" w:rsidRDefault="005A13AB" w:rsidP="009339CB">
      <w:pPr>
        <w:pStyle w:val="Heading1"/>
      </w:pPr>
      <w:r w:rsidRPr="00767383">
        <w:t>3</w:t>
      </w:r>
      <w:r w:rsidR="009339CB" w:rsidRPr="00767383">
        <w:tab/>
        <w:t>Conclusion</w:t>
      </w:r>
    </w:p>
    <w:p w14:paraId="6E24B0F4" w14:textId="552EF491" w:rsidR="009339CB" w:rsidRPr="00767383" w:rsidRDefault="009339CB" w:rsidP="009339CB">
      <w:r w:rsidRPr="00767383">
        <w:t>This document has made the following observations:</w:t>
      </w:r>
    </w:p>
    <w:p w14:paraId="7601A4F1" w14:textId="77777777" w:rsidR="002064EA" w:rsidRDefault="002064EA" w:rsidP="002064EA">
      <w:pPr>
        <w:spacing w:before="120"/>
      </w:pPr>
      <w:r>
        <w:rPr>
          <w:b/>
          <w:bCs/>
        </w:rPr>
        <w:t>Observation 1</w:t>
      </w:r>
      <w:r w:rsidRPr="005F3113">
        <w:t>: Without</w:t>
      </w:r>
      <w:r>
        <w:t xml:space="preserve"> the MN</w:t>
      </w:r>
      <w:r w:rsidRPr="005F3113">
        <w:t xml:space="preserve"> indicating to the SN the allowed BW at the SN side (or the reserved BW at the MN side), the SN </w:t>
      </w:r>
      <w:r>
        <w:t>might</w:t>
      </w:r>
      <w:r w:rsidRPr="005F3113">
        <w:t xml:space="preserve"> attempt to provide a</w:t>
      </w:r>
      <w:r>
        <w:t>n invalid</w:t>
      </w:r>
      <w:r w:rsidRPr="005F3113">
        <w:t xml:space="preserve"> configuration </w:t>
      </w:r>
      <w:r>
        <w:t>for</w:t>
      </w:r>
      <w:r w:rsidRPr="005F3113">
        <w:t xml:space="preserve"> </w:t>
      </w:r>
      <w:r>
        <w:t>a</w:t>
      </w:r>
      <w:r w:rsidRPr="005F3113">
        <w:t xml:space="preserve"> BCS5 NR-DC </w:t>
      </w:r>
      <w:r>
        <w:t xml:space="preserve">BC </w:t>
      </w:r>
      <w:r w:rsidRPr="005F3113">
        <w:t xml:space="preserve">that exceeds the UE </w:t>
      </w:r>
      <w:r w:rsidRPr="005F3113">
        <w:rPr>
          <w:i/>
          <w:iCs/>
        </w:rPr>
        <w:t xml:space="preserve">supportedAggBW-FR1-r17 </w:t>
      </w:r>
      <w:r w:rsidRPr="005F3113">
        <w:t>capabilities.</w:t>
      </w:r>
    </w:p>
    <w:p w14:paraId="18098C7B" w14:textId="0FDAD126" w:rsidR="00C121AF" w:rsidRPr="00C121AF" w:rsidRDefault="00C121AF" w:rsidP="00C121AF">
      <w:r w:rsidRPr="0015461F">
        <w:rPr>
          <w:b/>
          <w:bCs/>
        </w:rPr>
        <w:t>Observation 2</w:t>
      </w:r>
      <w:r>
        <w:t>: Inter-node signalling for coordinating maximum aggregated bandwidth capabilities between MN and SN can be based on signalling a per-BC BW allowance to the SN (Option 1) or based on signalling the MN-reserved BW to the SN independent of the allowed BCs (Option 2).</w:t>
      </w:r>
    </w:p>
    <w:p w14:paraId="32C065C7" w14:textId="77777777" w:rsidR="007549D2" w:rsidRDefault="007549D2" w:rsidP="007549D2">
      <w:r w:rsidRPr="00767383">
        <w:rPr>
          <w:b/>
        </w:rPr>
        <w:t xml:space="preserve">Observation </w:t>
      </w:r>
      <w:r>
        <w:rPr>
          <w:b/>
        </w:rPr>
        <w:t>3</w:t>
      </w:r>
      <w:r w:rsidRPr="00767383">
        <w:rPr>
          <w:bCs/>
        </w:rPr>
        <w:t>:</w:t>
      </w:r>
      <w:r w:rsidRPr="00767383">
        <w:t xml:space="preserve"> </w:t>
      </w:r>
      <w:r>
        <w:t>Allowing the SN to request the MN to modify the BCS5 bandwidth allowance at the SN side would provide better flexibility to support BCS5 NR-DC band combinations</w:t>
      </w:r>
      <w:r w:rsidRPr="00767383">
        <w:t>.</w:t>
      </w:r>
    </w:p>
    <w:p w14:paraId="3BE72BE2" w14:textId="77777777" w:rsidR="009339CB" w:rsidRPr="00767383" w:rsidRDefault="009339CB" w:rsidP="009339CB">
      <w:pPr>
        <w:rPr>
          <w:bCs/>
        </w:rPr>
      </w:pPr>
      <w:r w:rsidRPr="00767383">
        <w:rPr>
          <w:bCs/>
        </w:rPr>
        <w:t>And proposed the following:</w:t>
      </w:r>
    </w:p>
    <w:p w14:paraId="611C156C" w14:textId="77777777" w:rsidR="007549D2" w:rsidRPr="00767383" w:rsidRDefault="007549D2" w:rsidP="007549D2">
      <w:r w:rsidRPr="00767383">
        <w:rPr>
          <w:b/>
        </w:rPr>
        <w:t>Proposal 1</w:t>
      </w:r>
      <w:r w:rsidRPr="00767383">
        <w:rPr>
          <w:bCs/>
        </w:rPr>
        <w:t>:</w:t>
      </w:r>
      <w:r w:rsidRPr="00767383">
        <w:t xml:space="preserve"> </w:t>
      </w:r>
      <w:r>
        <w:t>RAN2 should decide between Option 1 and Option 2 when specifying the inter-node signalling required to support maximum aggregate bandwidth coordination for BCS5 NR-DC band combinations</w:t>
      </w:r>
      <w:r w:rsidRPr="00767383">
        <w:t>.</w:t>
      </w:r>
    </w:p>
    <w:p w14:paraId="411B457E" w14:textId="77777777" w:rsidR="007549D2" w:rsidRPr="00767383" w:rsidRDefault="007549D2" w:rsidP="007549D2">
      <w:r w:rsidRPr="00767383">
        <w:rPr>
          <w:b/>
        </w:rPr>
        <w:t>Proposal 2</w:t>
      </w:r>
      <w:r w:rsidRPr="00767383">
        <w:rPr>
          <w:bCs/>
        </w:rPr>
        <w:t>:</w:t>
      </w:r>
      <w:r w:rsidRPr="00767383">
        <w:t xml:space="preserve"> </w:t>
      </w:r>
      <w:r>
        <w:t xml:space="preserve">SN should be able to request the MN to modify the BCS5 (FDD, TDD, and/or total) bandwidth allowance for a given band combination or band at the SN side, e.g. using </w:t>
      </w:r>
      <w:r>
        <w:rPr>
          <w:i/>
          <w:iCs/>
        </w:rPr>
        <w:t xml:space="preserve">CG-Config </w:t>
      </w:r>
      <w:r>
        <w:t xml:space="preserve">&gt; </w:t>
      </w:r>
      <w:proofErr w:type="spellStart"/>
      <w:r>
        <w:rPr>
          <w:i/>
          <w:iCs/>
        </w:rPr>
        <w:t>configRestrictModReq</w:t>
      </w:r>
      <w:proofErr w:type="spellEnd"/>
      <w:r w:rsidRPr="00767383">
        <w:t>.</w:t>
      </w:r>
    </w:p>
    <w:p w14:paraId="7A8A6A12" w14:textId="366309D2" w:rsidR="00E44321" w:rsidRPr="00767383" w:rsidRDefault="00E44321" w:rsidP="00E44321">
      <w:pPr>
        <w:pStyle w:val="Heading1"/>
      </w:pPr>
      <w:r w:rsidRPr="00767383">
        <w:t>3</w:t>
      </w:r>
      <w:r w:rsidRPr="00767383">
        <w:tab/>
      </w:r>
      <w:r>
        <w:t>References</w:t>
      </w:r>
    </w:p>
    <w:p w14:paraId="32327297" w14:textId="15F31CEB" w:rsidR="00A54235" w:rsidRPr="00A54235" w:rsidRDefault="00BE7E93" w:rsidP="00A54235">
      <w:pPr>
        <w:pStyle w:val="EX"/>
      </w:pPr>
      <w:r w:rsidRPr="00CB5C5F">
        <w:t>[1]</w:t>
      </w:r>
      <w:r w:rsidRPr="00CB5C5F">
        <w:tab/>
      </w:r>
      <w:hyperlink r:id="rId12" w:history="1">
        <w:r w:rsidR="00A54235" w:rsidRPr="00A54235">
          <w:rPr>
            <w:rStyle w:val="Hyperlink"/>
          </w:rPr>
          <w:t>R2-2401737</w:t>
        </w:r>
      </w:hyperlink>
      <w:r w:rsidR="00A54235" w:rsidRPr="00A54235">
        <w:tab/>
        <w:t xml:space="preserve">Introduction of </w:t>
      </w:r>
      <w:bookmarkStart w:id="0" w:name="_Hlk159944835"/>
      <w:r w:rsidR="00A54235" w:rsidRPr="00A54235">
        <w:t xml:space="preserve">maximum aggregated bandwidth for FR1 CA and for FR2 intra-band </w:t>
      </w:r>
      <w:bookmarkEnd w:id="0"/>
      <w:r w:rsidR="00D96A1D" w:rsidRPr="00D96A1D">
        <w:rPr>
          <w:lang w:val="en-US"/>
        </w:rPr>
        <w:t>CA</w:t>
      </w:r>
      <w:r w:rsidR="00997274">
        <w:rPr>
          <w:lang w:val="en-US"/>
        </w:rPr>
        <w:tab/>
      </w:r>
      <w:r w:rsidR="00997274">
        <w:rPr>
          <w:lang w:val="en-US"/>
        </w:rPr>
        <w:tab/>
      </w:r>
      <w:r w:rsidR="00D96A1D" w:rsidRPr="00D96A1D">
        <w:rPr>
          <w:lang w:val="en-US"/>
        </w:rPr>
        <w:t>Qualcomm Incorporated, Ericsson, T-Mobile USA</w:t>
      </w:r>
      <w:r w:rsidR="00D96A1D" w:rsidRPr="00D96A1D">
        <w:rPr>
          <w:lang w:val="en-US"/>
        </w:rPr>
        <w:tab/>
        <w:t>CR</w:t>
      </w:r>
      <w:r w:rsidR="00997274">
        <w:rPr>
          <w:lang w:val="en-US"/>
        </w:rPr>
        <w:tab/>
      </w:r>
      <w:r w:rsidR="00997274">
        <w:rPr>
          <w:lang w:val="en-US"/>
        </w:rPr>
        <w:tab/>
      </w:r>
      <w:r w:rsidR="00D96A1D" w:rsidRPr="00D96A1D">
        <w:rPr>
          <w:lang w:val="en-US"/>
        </w:rPr>
        <w:t>Rel-17</w:t>
      </w:r>
      <w:r w:rsidR="00997274">
        <w:rPr>
          <w:lang w:val="en-US"/>
        </w:rPr>
        <w:tab/>
      </w:r>
      <w:r w:rsidR="00997274">
        <w:rPr>
          <w:lang w:val="en-US"/>
        </w:rPr>
        <w:tab/>
      </w:r>
      <w:r w:rsidR="00D96A1D" w:rsidRPr="00D96A1D">
        <w:rPr>
          <w:lang w:val="en-US"/>
        </w:rPr>
        <w:t>38.331</w:t>
      </w:r>
      <w:r w:rsidR="00997274">
        <w:rPr>
          <w:lang w:val="en-US"/>
        </w:rPr>
        <w:tab/>
      </w:r>
      <w:r w:rsidR="00997274">
        <w:rPr>
          <w:lang w:val="en-US"/>
        </w:rPr>
        <w:tab/>
      </w:r>
      <w:r w:rsidR="00D96A1D" w:rsidRPr="00D96A1D">
        <w:rPr>
          <w:lang w:val="en-US"/>
        </w:rPr>
        <w:t>17.7.0</w:t>
      </w:r>
      <w:r w:rsidR="00997274">
        <w:rPr>
          <w:lang w:val="en-US"/>
        </w:rPr>
        <w:tab/>
      </w:r>
      <w:r w:rsidR="00997274">
        <w:rPr>
          <w:lang w:val="en-US"/>
        </w:rPr>
        <w:tab/>
      </w:r>
      <w:r w:rsidR="00D96A1D" w:rsidRPr="00D96A1D">
        <w:rPr>
          <w:lang w:val="en-US"/>
        </w:rPr>
        <w:t>4523</w:t>
      </w:r>
      <w:r w:rsidR="00997274">
        <w:rPr>
          <w:lang w:val="en-US"/>
        </w:rPr>
        <w:tab/>
        <w:t>1</w:t>
      </w:r>
      <w:r w:rsidR="00997274">
        <w:rPr>
          <w:lang w:val="en-US"/>
        </w:rPr>
        <w:tab/>
      </w:r>
      <w:r w:rsidR="00D96A1D" w:rsidRPr="00D96A1D">
        <w:rPr>
          <w:lang w:val="en-US"/>
        </w:rPr>
        <w:t>C</w:t>
      </w:r>
      <w:r w:rsidR="00997274">
        <w:rPr>
          <w:lang w:val="en-US"/>
        </w:rPr>
        <w:tab/>
      </w:r>
      <w:r w:rsidR="00D96A1D" w:rsidRPr="00D96A1D">
        <w:rPr>
          <w:lang w:val="en-US"/>
        </w:rPr>
        <w:t>NR_BCS4-Core, NR_RF_FR2_req_enh2-Core</w:t>
      </w:r>
    </w:p>
    <w:p w14:paraId="38D00582" w14:textId="2BA18611" w:rsidR="00BE7E93" w:rsidRPr="00CB5C5F" w:rsidRDefault="00BE7E93" w:rsidP="00C31E15">
      <w:pPr>
        <w:pStyle w:val="EX"/>
      </w:pPr>
      <w:r w:rsidRPr="00CB5C5F">
        <w:t>[2]</w:t>
      </w:r>
      <w:r w:rsidRPr="00CB5C5F">
        <w:tab/>
      </w:r>
      <w:hyperlink r:id="rId13" w:history="1">
        <w:r w:rsidR="00C31E15">
          <w:rPr>
            <w:rStyle w:val="Hyperlink"/>
          </w:rPr>
          <w:t>R2-2401738</w:t>
        </w:r>
      </w:hyperlink>
      <w:r w:rsidR="00C31E15" w:rsidRPr="00C31E15">
        <w:tab/>
        <w:t xml:space="preserve">Introduction of maximum aggregated bandwidth for FR1 CA and for FR2 intra-band </w:t>
      </w:r>
      <w:r w:rsidR="00997274">
        <w:rPr>
          <w:lang w:val="en-US"/>
        </w:rPr>
        <w:t>CA</w:t>
      </w:r>
      <w:r w:rsidR="00997274">
        <w:rPr>
          <w:lang w:val="en-US"/>
        </w:rPr>
        <w:tab/>
      </w:r>
      <w:r w:rsidR="00997274">
        <w:rPr>
          <w:lang w:val="en-US"/>
        </w:rPr>
        <w:tab/>
        <w:t>Qualcomm Incorporated, Ericsson, T-Mobile USA</w:t>
      </w:r>
      <w:r w:rsidR="00997274">
        <w:rPr>
          <w:lang w:val="en-US"/>
        </w:rPr>
        <w:tab/>
        <w:t>CR</w:t>
      </w:r>
      <w:r w:rsidR="00997274">
        <w:rPr>
          <w:lang w:val="en-US"/>
        </w:rPr>
        <w:tab/>
      </w:r>
      <w:r w:rsidR="00997274">
        <w:rPr>
          <w:lang w:val="en-US"/>
        </w:rPr>
        <w:tab/>
        <w:t>Rel-18</w:t>
      </w:r>
      <w:r w:rsidR="00997274">
        <w:rPr>
          <w:lang w:val="en-US"/>
        </w:rPr>
        <w:tab/>
      </w:r>
      <w:r w:rsidR="00997274">
        <w:rPr>
          <w:lang w:val="en-US"/>
        </w:rPr>
        <w:tab/>
        <w:t>38.331</w:t>
      </w:r>
      <w:r w:rsidR="00997274">
        <w:rPr>
          <w:lang w:val="en-US"/>
        </w:rPr>
        <w:tab/>
      </w:r>
      <w:r w:rsidR="00997274">
        <w:rPr>
          <w:lang w:val="en-US"/>
        </w:rPr>
        <w:tab/>
        <w:t>18.0.0</w:t>
      </w:r>
      <w:r w:rsidR="00997274">
        <w:rPr>
          <w:lang w:val="en-US"/>
        </w:rPr>
        <w:tab/>
      </w:r>
      <w:r w:rsidR="00997274">
        <w:rPr>
          <w:lang w:val="en-US"/>
        </w:rPr>
        <w:tab/>
        <w:t>4523</w:t>
      </w:r>
      <w:r w:rsidR="00997274">
        <w:rPr>
          <w:lang w:val="en-US"/>
        </w:rPr>
        <w:tab/>
        <w:t>1</w:t>
      </w:r>
      <w:r w:rsidR="00997274">
        <w:rPr>
          <w:lang w:val="en-US"/>
        </w:rPr>
        <w:tab/>
        <w:t>A</w:t>
      </w:r>
      <w:r w:rsidR="00997274">
        <w:rPr>
          <w:lang w:val="en-US"/>
        </w:rPr>
        <w:tab/>
        <w:t>NR_BCS4-Core, NR_RF_FR2_req_enh2-Core</w:t>
      </w:r>
    </w:p>
    <w:p w14:paraId="5AA79AC2" w14:textId="09C3300B" w:rsidR="00C31E15" w:rsidRPr="00C31E15" w:rsidRDefault="00BE7E93" w:rsidP="00C31E15">
      <w:pPr>
        <w:pStyle w:val="EX"/>
      </w:pPr>
      <w:r w:rsidRPr="00CB5C5F">
        <w:t>[3]</w:t>
      </w:r>
      <w:r w:rsidRPr="00CB5C5F">
        <w:tab/>
      </w:r>
      <w:hyperlink r:id="rId14" w:history="1">
        <w:r w:rsidR="00C31E15">
          <w:rPr>
            <w:rStyle w:val="Hyperlink"/>
          </w:rPr>
          <w:t>R2-2401739</w:t>
        </w:r>
      </w:hyperlink>
      <w:r w:rsidR="00C31E15" w:rsidRPr="00C31E15">
        <w:tab/>
        <w:t xml:space="preserve">Introduction of maximum aggregated bandwidth for FR1 CA and for FR2 intra-band </w:t>
      </w:r>
      <w:r w:rsidR="007E791F" w:rsidRPr="007E791F">
        <w:rPr>
          <w:lang w:val="en-US"/>
        </w:rPr>
        <w:t>CA</w:t>
      </w:r>
      <w:r w:rsidR="007E791F">
        <w:rPr>
          <w:lang w:val="en-US"/>
        </w:rPr>
        <w:tab/>
      </w:r>
      <w:r w:rsidR="007E791F">
        <w:rPr>
          <w:lang w:val="en-US"/>
        </w:rPr>
        <w:tab/>
      </w:r>
      <w:r w:rsidR="007E791F" w:rsidRPr="007E791F">
        <w:rPr>
          <w:lang w:val="en-US"/>
        </w:rPr>
        <w:t>Qualcomm Incorporated, Ericsson, T-Mobile USA</w:t>
      </w:r>
      <w:r w:rsidR="007E791F" w:rsidRPr="007E791F">
        <w:rPr>
          <w:lang w:val="en-US"/>
        </w:rPr>
        <w:tab/>
        <w:t>CR</w:t>
      </w:r>
      <w:r w:rsidR="007E791F">
        <w:rPr>
          <w:lang w:val="en-US"/>
        </w:rPr>
        <w:tab/>
      </w:r>
      <w:r w:rsidR="007E791F">
        <w:rPr>
          <w:lang w:val="en-US"/>
        </w:rPr>
        <w:tab/>
      </w:r>
      <w:r w:rsidR="007E791F" w:rsidRPr="007E791F">
        <w:rPr>
          <w:lang w:val="en-US"/>
        </w:rPr>
        <w:t>Rel-17</w:t>
      </w:r>
      <w:r w:rsidR="007E791F">
        <w:rPr>
          <w:lang w:val="en-US"/>
        </w:rPr>
        <w:tab/>
      </w:r>
      <w:r w:rsidR="007E791F">
        <w:rPr>
          <w:lang w:val="en-US"/>
        </w:rPr>
        <w:tab/>
      </w:r>
      <w:r w:rsidR="007E791F" w:rsidRPr="007E791F">
        <w:rPr>
          <w:lang w:val="en-US"/>
        </w:rPr>
        <w:t>38.306</w:t>
      </w:r>
      <w:r w:rsidR="007E791F">
        <w:rPr>
          <w:lang w:val="en-US"/>
        </w:rPr>
        <w:tab/>
      </w:r>
      <w:r w:rsidR="007E791F">
        <w:rPr>
          <w:lang w:val="en-US"/>
        </w:rPr>
        <w:tab/>
      </w:r>
      <w:r w:rsidR="007E791F" w:rsidRPr="007E791F">
        <w:rPr>
          <w:lang w:val="en-US"/>
        </w:rPr>
        <w:t>17.7.0</w:t>
      </w:r>
      <w:r w:rsidR="007E791F">
        <w:rPr>
          <w:lang w:val="en-US"/>
        </w:rPr>
        <w:tab/>
      </w:r>
      <w:r w:rsidR="007E791F">
        <w:rPr>
          <w:lang w:val="en-US"/>
        </w:rPr>
        <w:tab/>
      </w:r>
      <w:r w:rsidR="007E791F" w:rsidRPr="007E791F">
        <w:rPr>
          <w:lang w:val="en-US"/>
        </w:rPr>
        <w:t>1021</w:t>
      </w:r>
      <w:r w:rsidR="007E791F" w:rsidRPr="007E791F">
        <w:rPr>
          <w:lang w:val="en-US"/>
        </w:rPr>
        <w:tab/>
      </w:r>
      <w:r w:rsidR="007E791F">
        <w:rPr>
          <w:lang w:val="en-US"/>
        </w:rPr>
        <w:t>1</w:t>
      </w:r>
      <w:r w:rsidR="007E791F" w:rsidRPr="007E791F">
        <w:rPr>
          <w:lang w:val="en-US"/>
        </w:rPr>
        <w:tab/>
        <w:t>C</w:t>
      </w:r>
      <w:r w:rsidR="007E791F" w:rsidRPr="007E791F">
        <w:rPr>
          <w:lang w:val="en-US"/>
        </w:rPr>
        <w:tab/>
        <w:t>NR_BCS4-Core, NR_RF_FR2_req_enh2-Core</w:t>
      </w:r>
    </w:p>
    <w:p w14:paraId="433BD8DE" w14:textId="6D7F72D1" w:rsidR="00C31E15" w:rsidRPr="00C31E15" w:rsidRDefault="00BE7E93" w:rsidP="00C31E15">
      <w:pPr>
        <w:pStyle w:val="EX"/>
      </w:pPr>
      <w:r w:rsidRPr="00CB5C5F">
        <w:t>[4]</w:t>
      </w:r>
      <w:r w:rsidRPr="00CB5C5F">
        <w:tab/>
      </w:r>
      <w:hyperlink r:id="rId15" w:history="1">
        <w:r w:rsidR="00C31E15">
          <w:rPr>
            <w:rStyle w:val="Hyperlink"/>
          </w:rPr>
          <w:t>R2-2401740</w:t>
        </w:r>
      </w:hyperlink>
      <w:r w:rsidR="00C31E15" w:rsidRPr="00C31E15">
        <w:tab/>
        <w:t xml:space="preserve">Introduction of maximum aggregated bandwidth for FR1 CA and for FR2 intra-band </w:t>
      </w:r>
      <w:r w:rsidR="00FE555A" w:rsidRPr="00FE555A">
        <w:rPr>
          <w:lang w:val="en-US"/>
        </w:rPr>
        <w:t>CA</w:t>
      </w:r>
      <w:r w:rsidR="00FE555A">
        <w:rPr>
          <w:lang w:val="en-US"/>
        </w:rPr>
        <w:tab/>
      </w:r>
      <w:r w:rsidR="00FE555A">
        <w:rPr>
          <w:lang w:val="en-US"/>
        </w:rPr>
        <w:tab/>
      </w:r>
      <w:r w:rsidR="00FE555A" w:rsidRPr="00FE555A">
        <w:rPr>
          <w:lang w:val="en-US"/>
        </w:rPr>
        <w:t>Qualcomm Incorporated, Ericsson, T-Mobile USA</w:t>
      </w:r>
      <w:r w:rsidR="00FE555A" w:rsidRPr="00FE555A">
        <w:rPr>
          <w:lang w:val="en-US"/>
        </w:rPr>
        <w:tab/>
        <w:t>CR</w:t>
      </w:r>
      <w:r w:rsidR="00FE555A">
        <w:rPr>
          <w:lang w:val="en-US"/>
        </w:rPr>
        <w:tab/>
      </w:r>
      <w:r w:rsidR="00FE555A">
        <w:rPr>
          <w:lang w:val="en-US"/>
        </w:rPr>
        <w:tab/>
      </w:r>
      <w:r w:rsidR="00FE555A" w:rsidRPr="00FE555A">
        <w:rPr>
          <w:lang w:val="en-US"/>
        </w:rPr>
        <w:t>Rel-18</w:t>
      </w:r>
      <w:r w:rsidR="00FE555A">
        <w:rPr>
          <w:lang w:val="en-US"/>
        </w:rPr>
        <w:tab/>
      </w:r>
      <w:r w:rsidR="00FE555A">
        <w:rPr>
          <w:lang w:val="en-US"/>
        </w:rPr>
        <w:tab/>
      </w:r>
      <w:r w:rsidR="00FE555A" w:rsidRPr="00FE555A">
        <w:rPr>
          <w:lang w:val="en-US"/>
        </w:rPr>
        <w:t>38.306</w:t>
      </w:r>
      <w:r w:rsidR="00FE555A">
        <w:rPr>
          <w:lang w:val="en-US"/>
        </w:rPr>
        <w:tab/>
      </w:r>
      <w:r w:rsidR="00FE555A">
        <w:rPr>
          <w:lang w:val="en-US"/>
        </w:rPr>
        <w:tab/>
      </w:r>
      <w:r w:rsidR="00FE555A" w:rsidRPr="00FE555A">
        <w:rPr>
          <w:lang w:val="en-US"/>
        </w:rPr>
        <w:t>18.0.0</w:t>
      </w:r>
      <w:r w:rsidR="00FE555A">
        <w:rPr>
          <w:lang w:val="en-US"/>
        </w:rPr>
        <w:tab/>
      </w:r>
      <w:r w:rsidR="00FE555A">
        <w:rPr>
          <w:lang w:val="en-US"/>
        </w:rPr>
        <w:tab/>
      </w:r>
      <w:r w:rsidR="00FE555A" w:rsidRPr="00FE555A">
        <w:rPr>
          <w:lang w:val="en-US"/>
        </w:rPr>
        <w:t>1022</w:t>
      </w:r>
      <w:r w:rsidR="00FE555A" w:rsidRPr="00FE555A">
        <w:rPr>
          <w:lang w:val="en-US"/>
        </w:rPr>
        <w:tab/>
      </w:r>
      <w:r w:rsidR="00FE555A">
        <w:rPr>
          <w:lang w:val="en-US"/>
        </w:rPr>
        <w:t>1</w:t>
      </w:r>
      <w:r w:rsidR="00FE555A" w:rsidRPr="00FE555A">
        <w:rPr>
          <w:lang w:val="en-US"/>
        </w:rPr>
        <w:tab/>
        <w:t>A</w:t>
      </w:r>
      <w:r w:rsidR="00FE555A" w:rsidRPr="00FE555A">
        <w:rPr>
          <w:lang w:val="en-US"/>
        </w:rPr>
        <w:tab/>
        <w:t>NR_BCS4-Core, NR_RF_FR2_req_enh2-Core</w:t>
      </w:r>
    </w:p>
    <w:p w14:paraId="35F222F4" w14:textId="64D9C4C9" w:rsidR="00080512" w:rsidRPr="00767383" w:rsidRDefault="00BE7E93" w:rsidP="00BE7E93">
      <w:pPr>
        <w:pStyle w:val="EX"/>
      </w:pPr>
      <w:r w:rsidRPr="00CB5C5F">
        <w:t>[5]</w:t>
      </w:r>
      <w:r w:rsidRPr="00CB5C5F">
        <w:tab/>
      </w:r>
      <w:hyperlink r:id="rId16" w:history="1">
        <w:r w:rsidR="007646C5" w:rsidRPr="007646C5">
          <w:rPr>
            <w:rStyle w:val="Hyperlink"/>
            <w:lang w:val="en-US"/>
          </w:rPr>
          <w:t>R2-2401029</w:t>
        </w:r>
      </w:hyperlink>
      <w:r w:rsidR="007646C5" w:rsidRPr="007646C5">
        <w:rPr>
          <w:lang w:val="en-US"/>
        </w:rPr>
        <w:tab/>
        <w:t xml:space="preserve">Consideration on the </w:t>
      </w:r>
      <w:proofErr w:type="spellStart"/>
      <w:r w:rsidR="007646C5" w:rsidRPr="007646C5">
        <w:rPr>
          <w:lang w:val="en-US"/>
        </w:rPr>
        <w:t>Aggragated</w:t>
      </w:r>
      <w:proofErr w:type="spellEnd"/>
      <w:r w:rsidR="007646C5" w:rsidRPr="007646C5">
        <w:rPr>
          <w:lang w:val="en-US"/>
        </w:rPr>
        <w:t xml:space="preserve"> Bandwidth for the NR-DC Case</w:t>
      </w:r>
      <w:r w:rsidR="007646C5" w:rsidRPr="007646C5">
        <w:rPr>
          <w:lang w:val="en-US"/>
        </w:rPr>
        <w:tab/>
        <w:t xml:space="preserve">ZTE Corporation, </w:t>
      </w:r>
      <w:proofErr w:type="spellStart"/>
      <w:r w:rsidR="007646C5" w:rsidRPr="007646C5">
        <w:rPr>
          <w:lang w:val="en-US"/>
        </w:rPr>
        <w:t>Sanechips</w:t>
      </w:r>
      <w:proofErr w:type="spellEnd"/>
      <w:r w:rsidR="007646C5" w:rsidRPr="007646C5">
        <w:rPr>
          <w:lang w:val="en-US"/>
        </w:rPr>
        <w:tab/>
        <w:t>discussion</w:t>
      </w:r>
      <w:r w:rsidR="007646C5">
        <w:rPr>
          <w:lang w:val="en-US"/>
        </w:rPr>
        <w:tab/>
      </w:r>
      <w:r w:rsidR="007646C5">
        <w:rPr>
          <w:lang w:val="en-US"/>
        </w:rPr>
        <w:tab/>
      </w:r>
      <w:r w:rsidR="007646C5" w:rsidRPr="007646C5">
        <w:rPr>
          <w:lang w:val="en-US"/>
        </w:rPr>
        <w:t>Rel-17</w:t>
      </w:r>
      <w:r w:rsidR="007646C5">
        <w:rPr>
          <w:lang w:val="en-US"/>
        </w:rPr>
        <w:tab/>
      </w:r>
      <w:r w:rsidR="007646C5">
        <w:rPr>
          <w:lang w:val="en-US"/>
        </w:rPr>
        <w:tab/>
      </w:r>
      <w:r w:rsidR="007646C5" w:rsidRPr="007646C5">
        <w:rPr>
          <w:lang w:val="en-US"/>
        </w:rPr>
        <w:t>NR_BCS4-Core, NR_RF_FR2_req_enh2-Core</w:t>
      </w:r>
    </w:p>
    <w:sectPr w:rsidR="00080512" w:rsidRPr="0076738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4F847" w14:textId="77777777" w:rsidR="00923B8A" w:rsidRDefault="00923B8A">
      <w:r>
        <w:separator/>
      </w:r>
    </w:p>
  </w:endnote>
  <w:endnote w:type="continuationSeparator" w:id="0">
    <w:p w14:paraId="22ABBAF7" w14:textId="77777777" w:rsidR="00923B8A" w:rsidRDefault="00923B8A">
      <w:r>
        <w:continuationSeparator/>
      </w:r>
    </w:p>
  </w:endnote>
  <w:endnote w:type="continuationNotice" w:id="1">
    <w:p w14:paraId="28285650" w14:textId="77777777" w:rsidR="00923B8A" w:rsidRDefault="00923B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6E0E1" w14:textId="77777777" w:rsidR="00923B8A" w:rsidRDefault="00923B8A">
      <w:r>
        <w:separator/>
      </w:r>
    </w:p>
  </w:footnote>
  <w:footnote w:type="continuationSeparator" w:id="0">
    <w:p w14:paraId="606A9A00" w14:textId="77777777" w:rsidR="00923B8A" w:rsidRDefault="00923B8A">
      <w:r>
        <w:continuationSeparator/>
      </w:r>
    </w:p>
  </w:footnote>
  <w:footnote w:type="continuationNotice" w:id="1">
    <w:p w14:paraId="24FCC292" w14:textId="77777777" w:rsidR="00923B8A" w:rsidRDefault="00923B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025955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3E"/>
    <w:rsid w:val="00006C10"/>
    <w:rsid w:val="00016557"/>
    <w:rsid w:val="00023C40"/>
    <w:rsid w:val="0002507D"/>
    <w:rsid w:val="00032B1E"/>
    <w:rsid w:val="00033397"/>
    <w:rsid w:val="00040095"/>
    <w:rsid w:val="000430D8"/>
    <w:rsid w:val="00043943"/>
    <w:rsid w:val="000520FF"/>
    <w:rsid w:val="00060EA7"/>
    <w:rsid w:val="00065268"/>
    <w:rsid w:val="00073C9C"/>
    <w:rsid w:val="00076412"/>
    <w:rsid w:val="00077199"/>
    <w:rsid w:val="00080512"/>
    <w:rsid w:val="00090468"/>
    <w:rsid w:val="00094568"/>
    <w:rsid w:val="000B7059"/>
    <w:rsid w:val="000B7BCF"/>
    <w:rsid w:val="000C522B"/>
    <w:rsid w:val="000C6A5F"/>
    <w:rsid w:val="000D58AB"/>
    <w:rsid w:val="000D7E0E"/>
    <w:rsid w:val="00100695"/>
    <w:rsid w:val="001020FF"/>
    <w:rsid w:val="00112F1A"/>
    <w:rsid w:val="00115675"/>
    <w:rsid w:val="0012610D"/>
    <w:rsid w:val="0012782E"/>
    <w:rsid w:val="00135A35"/>
    <w:rsid w:val="00145075"/>
    <w:rsid w:val="0015461F"/>
    <w:rsid w:val="001741A0"/>
    <w:rsid w:val="00175FA0"/>
    <w:rsid w:val="0018542A"/>
    <w:rsid w:val="00194CD0"/>
    <w:rsid w:val="001A178D"/>
    <w:rsid w:val="001A3013"/>
    <w:rsid w:val="001B49C9"/>
    <w:rsid w:val="001C23F4"/>
    <w:rsid w:val="001C4F79"/>
    <w:rsid w:val="001D09E8"/>
    <w:rsid w:val="001F168B"/>
    <w:rsid w:val="001F7831"/>
    <w:rsid w:val="002028CA"/>
    <w:rsid w:val="00204045"/>
    <w:rsid w:val="002052AF"/>
    <w:rsid w:val="002064EA"/>
    <w:rsid w:val="00206F66"/>
    <w:rsid w:val="0020712B"/>
    <w:rsid w:val="0022606D"/>
    <w:rsid w:val="00231728"/>
    <w:rsid w:val="00244A05"/>
    <w:rsid w:val="00250404"/>
    <w:rsid w:val="00256B74"/>
    <w:rsid w:val="002610D8"/>
    <w:rsid w:val="002669EA"/>
    <w:rsid w:val="002747EC"/>
    <w:rsid w:val="0027700F"/>
    <w:rsid w:val="002855BF"/>
    <w:rsid w:val="00290A7C"/>
    <w:rsid w:val="002B2988"/>
    <w:rsid w:val="002B418B"/>
    <w:rsid w:val="002B52B9"/>
    <w:rsid w:val="002D187E"/>
    <w:rsid w:val="002D7860"/>
    <w:rsid w:val="002F0D22"/>
    <w:rsid w:val="002F37D4"/>
    <w:rsid w:val="00311B17"/>
    <w:rsid w:val="003172DC"/>
    <w:rsid w:val="00325AE3"/>
    <w:rsid w:val="00326069"/>
    <w:rsid w:val="003260F4"/>
    <w:rsid w:val="00340E63"/>
    <w:rsid w:val="003445EE"/>
    <w:rsid w:val="0035462D"/>
    <w:rsid w:val="0036459E"/>
    <w:rsid w:val="00364B41"/>
    <w:rsid w:val="00383096"/>
    <w:rsid w:val="0039346C"/>
    <w:rsid w:val="00394770"/>
    <w:rsid w:val="003A41EF"/>
    <w:rsid w:val="003A5C43"/>
    <w:rsid w:val="003B40AD"/>
    <w:rsid w:val="003C4E37"/>
    <w:rsid w:val="003D0FD0"/>
    <w:rsid w:val="003E16BE"/>
    <w:rsid w:val="003F4E28"/>
    <w:rsid w:val="003F76B6"/>
    <w:rsid w:val="004006E8"/>
    <w:rsid w:val="00401855"/>
    <w:rsid w:val="00446C3A"/>
    <w:rsid w:val="00455BB3"/>
    <w:rsid w:val="00460539"/>
    <w:rsid w:val="00465587"/>
    <w:rsid w:val="00471D94"/>
    <w:rsid w:val="00473796"/>
    <w:rsid w:val="00475FC8"/>
    <w:rsid w:val="00477455"/>
    <w:rsid w:val="004A1F7B"/>
    <w:rsid w:val="004A4452"/>
    <w:rsid w:val="004A631B"/>
    <w:rsid w:val="004B2C10"/>
    <w:rsid w:val="004B64C2"/>
    <w:rsid w:val="004C44D2"/>
    <w:rsid w:val="004D074C"/>
    <w:rsid w:val="004D3578"/>
    <w:rsid w:val="004D380D"/>
    <w:rsid w:val="004D640C"/>
    <w:rsid w:val="004E213A"/>
    <w:rsid w:val="004E7553"/>
    <w:rsid w:val="004F350B"/>
    <w:rsid w:val="004F4540"/>
    <w:rsid w:val="004F73A7"/>
    <w:rsid w:val="00503171"/>
    <w:rsid w:val="00506C28"/>
    <w:rsid w:val="00531035"/>
    <w:rsid w:val="0053379D"/>
    <w:rsid w:val="00534DA0"/>
    <w:rsid w:val="00537809"/>
    <w:rsid w:val="005411C2"/>
    <w:rsid w:val="0054216F"/>
    <w:rsid w:val="005432D9"/>
    <w:rsid w:val="00543E6C"/>
    <w:rsid w:val="0055189A"/>
    <w:rsid w:val="00560C82"/>
    <w:rsid w:val="00565087"/>
    <w:rsid w:val="0056573F"/>
    <w:rsid w:val="00571279"/>
    <w:rsid w:val="00573240"/>
    <w:rsid w:val="00575C80"/>
    <w:rsid w:val="00575FC5"/>
    <w:rsid w:val="005A13AB"/>
    <w:rsid w:val="005A49C6"/>
    <w:rsid w:val="005C01F4"/>
    <w:rsid w:val="005C766E"/>
    <w:rsid w:val="005C7CD5"/>
    <w:rsid w:val="005F3113"/>
    <w:rsid w:val="00611566"/>
    <w:rsid w:val="00626622"/>
    <w:rsid w:val="00646D99"/>
    <w:rsid w:val="00651D6F"/>
    <w:rsid w:val="00656910"/>
    <w:rsid w:val="006574C0"/>
    <w:rsid w:val="00696821"/>
    <w:rsid w:val="006C42CE"/>
    <w:rsid w:val="006C59B2"/>
    <w:rsid w:val="006C66D8"/>
    <w:rsid w:val="006D1E24"/>
    <w:rsid w:val="006D35DE"/>
    <w:rsid w:val="006D516B"/>
    <w:rsid w:val="006E1057"/>
    <w:rsid w:val="006E1417"/>
    <w:rsid w:val="006E3285"/>
    <w:rsid w:val="006F17AA"/>
    <w:rsid w:val="006F3925"/>
    <w:rsid w:val="006F5637"/>
    <w:rsid w:val="006F6A2C"/>
    <w:rsid w:val="00702A2D"/>
    <w:rsid w:val="0070531F"/>
    <w:rsid w:val="007069DC"/>
    <w:rsid w:val="00710201"/>
    <w:rsid w:val="0072073A"/>
    <w:rsid w:val="007226D4"/>
    <w:rsid w:val="00723B23"/>
    <w:rsid w:val="00725D4B"/>
    <w:rsid w:val="007313D8"/>
    <w:rsid w:val="007342B5"/>
    <w:rsid w:val="00734A5B"/>
    <w:rsid w:val="00737565"/>
    <w:rsid w:val="0074164D"/>
    <w:rsid w:val="00744E76"/>
    <w:rsid w:val="007549D2"/>
    <w:rsid w:val="00757D40"/>
    <w:rsid w:val="007646C5"/>
    <w:rsid w:val="007662B5"/>
    <w:rsid w:val="00767383"/>
    <w:rsid w:val="00781F0F"/>
    <w:rsid w:val="0078727C"/>
    <w:rsid w:val="0079049D"/>
    <w:rsid w:val="00790EB4"/>
    <w:rsid w:val="00793DC5"/>
    <w:rsid w:val="00796823"/>
    <w:rsid w:val="007A2E55"/>
    <w:rsid w:val="007B18D8"/>
    <w:rsid w:val="007C095F"/>
    <w:rsid w:val="007C2DD0"/>
    <w:rsid w:val="007C7B62"/>
    <w:rsid w:val="007E791F"/>
    <w:rsid w:val="007F2E08"/>
    <w:rsid w:val="008024FA"/>
    <w:rsid w:val="008028A4"/>
    <w:rsid w:val="00813245"/>
    <w:rsid w:val="00840DE0"/>
    <w:rsid w:val="00847CD0"/>
    <w:rsid w:val="0085405D"/>
    <w:rsid w:val="008567BC"/>
    <w:rsid w:val="008607A8"/>
    <w:rsid w:val="0086354A"/>
    <w:rsid w:val="00870FDD"/>
    <w:rsid w:val="008768CA"/>
    <w:rsid w:val="00877EF9"/>
    <w:rsid w:val="00880559"/>
    <w:rsid w:val="00893FDA"/>
    <w:rsid w:val="00894985"/>
    <w:rsid w:val="00897949"/>
    <w:rsid w:val="008B5306"/>
    <w:rsid w:val="008B54E8"/>
    <w:rsid w:val="008B5DA0"/>
    <w:rsid w:val="008B63AC"/>
    <w:rsid w:val="008C076E"/>
    <w:rsid w:val="008C2E2A"/>
    <w:rsid w:val="008C3057"/>
    <w:rsid w:val="008D2E4D"/>
    <w:rsid w:val="008D2F5B"/>
    <w:rsid w:val="008F396F"/>
    <w:rsid w:val="008F3DCD"/>
    <w:rsid w:val="0090271F"/>
    <w:rsid w:val="00902DB9"/>
    <w:rsid w:val="0090466A"/>
    <w:rsid w:val="00905E5A"/>
    <w:rsid w:val="00913E39"/>
    <w:rsid w:val="00923655"/>
    <w:rsid w:val="00923B8A"/>
    <w:rsid w:val="009248C6"/>
    <w:rsid w:val="009339CB"/>
    <w:rsid w:val="00936071"/>
    <w:rsid w:val="009376CD"/>
    <w:rsid w:val="00940212"/>
    <w:rsid w:val="00942EC2"/>
    <w:rsid w:val="00956739"/>
    <w:rsid w:val="00957BDE"/>
    <w:rsid w:val="00961B32"/>
    <w:rsid w:val="00962509"/>
    <w:rsid w:val="00970DB3"/>
    <w:rsid w:val="00974BB0"/>
    <w:rsid w:val="00975BCD"/>
    <w:rsid w:val="009818A2"/>
    <w:rsid w:val="009860E6"/>
    <w:rsid w:val="009928A9"/>
    <w:rsid w:val="00997274"/>
    <w:rsid w:val="009A0AF3"/>
    <w:rsid w:val="009B07CD"/>
    <w:rsid w:val="009C19E9"/>
    <w:rsid w:val="009C48A0"/>
    <w:rsid w:val="009D74A6"/>
    <w:rsid w:val="009E0E87"/>
    <w:rsid w:val="00A10F02"/>
    <w:rsid w:val="00A14D16"/>
    <w:rsid w:val="00A17176"/>
    <w:rsid w:val="00A17660"/>
    <w:rsid w:val="00A204CA"/>
    <w:rsid w:val="00A209D6"/>
    <w:rsid w:val="00A22738"/>
    <w:rsid w:val="00A36F5F"/>
    <w:rsid w:val="00A430EC"/>
    <w:rsid w:val="00A53724"/>
    <w:rsid w:val="00A54235"/>
    <w:rsid w:val="00A54B2B"/>
    <w:rsid w:val="00A66503"/>
    <w:rsid w:val="00A703B6"/>
    <w:rsid w:val="00A77DC6"/>
    <w:rsid w:val="00A82346"/>
    <w:rsid w:val="00A9671C"/>
    <w:rsid w:val="00AA1553"/>
    <w:rsid w:val="00AA27D5"/>
    <w:rsid w:val="00AC5A28"/>
    <w:rsid w:val="00AD7E7C"/>
    <w:rsid w:val="00B0381E"/>
    <w:rsid w:val="00B03CB7"/>
    <w:rsid w:val="00B05380"/>
    <w:rsid w:val="00B05962"/>
    <w:rsid w:val="00B15449"/>
    <w:rsid w:val="00B16C2F"/>
    <w:rsid w:val="00B24368"/>
    <w:rsid w:val="00B27303"/>
    <w:rsid w:val="00B4751E"/>
    <w:rsid w:val="00B47541"/>
    <w:rsid w:val="00B47FD1"/>
    <w:rsid w:val="00B501F6"/>
    <w:rsid w:val="00B516BB"/>
    <w:rsid w:val="00B57449"/>
    <w:rsid w:val="00B5751D"/>
    <w:rsid w:val="00B669E9"/>
    <w:rsid w:val="00B7538C"/>
    <w:rsid w:val="00B80D3D"/>
    <w:rsid w:val="00B84DB2"/>
    <w:rsid w:val="00BB3C3E"/>
    <w:rsid w:val="00BC3555"/>
    <w:rsid w:val="00BE2034"/>
    <w:rsid w:val="00BE656E"/>
    <w:rsid w:val="00BE7E93"/>
    <w:rsid w:val="00C121AF"/>
    <w:rsid w:val="00C12B51"/>
    <w:rsid w:val="00C24650"/>
    <w:rsid w:val="00C25465"/>
    <w:rsid w:val="00C31806"/>
    <w:rsid w:val="00C31E15"/>
    <w:rsid w:val="00C32CB9"/>
    <w:rsid w:val="00C33079"/>
    <w:rsid w:val="00C37DD0"/>
    <w:rsid w:val="00C55A12"/>
    <w:rsid w:val="00C6553E"/>
    <w:rsid w:val="00C70316"/>
    <w:rsid w:val="00C73937"/>
    <w:rsid w:val="00C83A13"/>
    <w:rsid w:val="00C86F10"/>
    <w:rsid w:val="00C9068C"/>
    <w:rsid w:val="00C92967"/>
    <w:rsid w:val="00CA3D0C"/>
    <w:rsid w:val="00CA654B"/>
    <w:rsid w:val="00CB72B8"/>
    <w:rsid w:val="00CD0BA8"/>
    <w:rsid w:val="00CD4C7B"/>
    <w:rsid w:val="00CD58FE"/>
    <w:rsid w:val="00D11755"/>
    <w:rsid w:val="00D33BE3"/>
    <w:rsid w:val="00D3792D"/>
    <w:rsid w:val="00D51F08"/>
    <w:rsid w:val="00D54820"/>
    <w:rsid w:val="00D55E47"/>
    <w:rsid w:val="00D605F9"/>
    <w:rsid w:val="00D62E19"/>
    <w:rsid w:val="00D67CD1"/>
    <w:rsid w:val="00D738D6"/>
    <w:rsid w:val="00D74FF8"/>
    <w:rsid w:val="00D80795"/>
    <w:rsid w:val="00D854BE"/>
    <w:rsid w:val="00D87E00"/>
    <w:rsid w:val="00D9134D"/>
    <w:rsid w:val="00D96A1D"/>
    <w:rsid w:val="00D96D11"/>
    <w:rsid w:val="00DA7A03"/>
    <w:rsid w:val="00DB0DB8"/>
    <w:rsid w:val="00DB1818"/>
    <w:rsid w:val="00DC309B"/>
    <w:rsid w:val="00DC38DA"/>
    <w:rsid w:val="00DC4DA2"/>
    <w:rsid w:val="00DC5261"/>
    <w:rsid w:val="00DE25D2"/>
    <w:rsid w:val="00DE681F"/>
    <w:rsid w:val="00DF7C20"/>
    <w:rsid w:val="00E038FB"/>
    <w:rsid w:val="00E05286"/>
    <w:rsid w:val="00E44321"/>
    <w:rsid w:val="00E46C08"/>
    <w:rsid w:val="00E471CF"/>
    <w:rsid w:val="00E62835"/>
    <w:rsid w:val="00E6480E"/>
    <w:rsid w:val="00E77645"/>
    <w:rsid w:val="00E83697"/>
    <w:rsid w:val="00E859B6"/>
    <w:rsid w:val="00E85C9E"/>
    <w:rsid w:val="00EA66C9"/>
    <w:rsid w:val="00EB22E1"/>
    <w:rsid w:val="00EB56F8"/>
    <w:rsid w:val="00EB5D32"/>
    <w:rsid w:val="00EC4A25"/>
    <w:rsid w:val="00EE619E"/>
    <w:rsid w:val="00EE6F86"/>
    <w:rsid w:val="00EF612C"/>
    <w:rsid w:val="00F025A2"/>
    <w:rsid w:val="00F036E9"/>
    <w:rsid w:val="00F07388"/>
    <w:rsid w:val="00F11BD9"/>
    <w:rsid w:val="00F2026E"/>
    <w:rsid w:val="00F2210A"/>
    <w:rsid w:val="00F31372"/>
    <w:rsid w:val="00F37743"/>
    <w:rsid w:val="00F40C2F"/>
    <w:rsid w:val="00F41159"/>
    <w:rsid w:val="00F42493"/>
    <w:rsid w:val="00F46F70"/>
    <w:rsid w:val="00F47E24"/>
    <w:rsid w:val="00F54A3D"/>
    <w:rsid w:val="00F54CB0"/>
    <w:rsid w:val="00F579CD"/>
    <w:rsid w:val="00F653B8"/>
    <w:rsid w:val="00F71B89"/>
    <w:rsid w:val="00F7353C"/>
    <w:rsid w:val="00F76F8F"/>
    <w:rsid w:val="00F81952"/>
    <w:rsid w:val="00F8286C"/>
    <w:rsid w:val="00F87048"/>
    <w:rsid w:val="00F87257"/>
    <w:rsid w:val="00F941DF"/>
    <w:rsid w:val="00F973A2"/>
    <w:rsid w:val="00FA1266"/>
    <w:rsid w:val="00FB36FA"/>
    <w:rsid w:val="00FC1192"/>
    <w:rsid w:val="00FE106D"/>
    <w:rsid w:val="00FE251B"/>
    <w:rsid w:val="00FE55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549D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Char"/>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CRCoverPageChar">
    <w:name w:val="CR Cover Page Char"/>
    <w:link w:val="CRCoverPage"/>
    <w:qFormat/>
    <w:rsid w:val="0085405D"/>
    <w:rPr>
      <w:rFonts w:ascii="Arial" w:eastAsia="MS Mincho" w:hAnsi="Arial"/>
      <w:lang w:eastAsia="en-US"/>
    </w:rPr>
  </w:style>
  <w:style w:type="paragraph" w:customStyle="1" w:styleId="Agreement">
    <w:name w:val="Agreement"/>
    <w:basedOn w:val="Normal"/>
    <w:next w:val="Normal"/>
    <w:uiPriority w:val="99"/>
    <w:qFormat/>
    <w:rsid w:val="00B80D3D"/>
    <w:pPr>
      <w:numPr>
        <w:numId w:val="18"/>
      </w:numPr>
      <w:spacing w:before="60" w:after="0"/>
    </w:pPr>
    <w:rPr>
      <w:rFonts w:ascii="Arial" w:eastAsia="MS Mincho" w:hAnsi="Arial"/>
      <w:b/>
      <w:szCs w:val="24"/>
      <w:lang w:eastAsia="en-GB"/>
    </w:rPr>
  </w:style>
  <w:style w:type="table" w:styleId="TableGrid">
    <w:name w:val="Table Grid"/>
    <w:basedOn w:val="TableNormal"/>
    <w:qFormat/>
    <w:rsid w:val="00893FDA"/>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25/Docs/R2-240173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ftp//tsg_ran/WG2_RL2/TSGR2_125/Docs//R2-2401737.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25/Docs//R2-240102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2_RL2/TSGR2_125/Docs/R2-2401740.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25/Docs/R2-2401739.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402</TotalTime>
  <Pages>3</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10214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(Andrew)</cp:lastModifiedBy>
  <cp:revision>262</cp:revision>
  <dcterms:created xsi:type="dcterms:W3CDTF">2016-08-12T13:53:00Z</dcterms:created>
  <dcterms:modified xsi:type="dcterms:W3CDTF">2024-04-05T02:50:00Z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